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01F4117B">
      <w:pPr>
        <w:spacing w:line="340" w:lineRule="exact"/>
        <w:ind w:firstLine="400" w:firstLineChars="200"/>
        <w:rPr>
          <w:rFonts w:ascii="宋体" w:hAnsi="宋体" w:hint="eastAsia"/>
          <w:color w:val="0000FF"/>
          <w:sz w:val="20"/>
          <w:lang w:val="en-US" w:eastAsia="zh-CN"/>
        </w:rPr>
      </w:pPr>
    </w:p>
    <w:p w14:paraId="5A483709">
      <w:pPr>
        <w:spacing w:line="340" w:lineRule="exact"/>
        <w:ind w:firstLine="400" w:firstLineChars="200"/>
        <w:rPr>
          <w:rFonts w:ascii="宋体" w:eastAsia="宋体" w:hAnsi="宋体" w:hint="eastAsia"/>
          <w:color w:val="0000FF"/>
          <w:sz w:val="20"/>
          <w:lang w:val="en-US" w:eastAsia="zh-CN"/>
        </w:rPr>
      </w:pPr>
      <w:r>
        <w:rPr>
          <w:rFonts w:ascii="宋体" w:eastAsia="宋体" w:hAnsi="宋体" w:hint="eastAsia"/>
          <w:color w:val="0000FF"/>
          <w:sz w:val="20"/>
          <w:lang w:val="en-US" w:eastAsia="zh-CN"/>
        </w:rPr>
        <w:t>3.1.2高端机床智能管控</w:t>
      </w:r>
    </w:p>
    <w:p w14:paraId="04CBCA4E">
      <w:pPr>
        <w:spacing w:line="340" w:lineRule="exact"/>
        <w:ind w:firstLine="400" w:firstLineChars="200"/>
        <w:rPr>
          <w:rFonts w:ascii="宋体" w:hAnsi="宋体" w:hint="eastAsia"/>
          <w:color w:val="0000FF"/>
          <w:sz w:val="20"/>
          <w:highlight w:val="yellow"/>
          <w:lang w:val="en-US" w:eastAsia="zh-CN"/>
        </w:rPr>
      </w:pPr>
      <w:r>
        <w:rPr>
          <w:rFonts w:ascii="宋体" w:hAnsi="宋体" w:hint="eastAsia"/>
          <w:color w:val="0000FF"/>
          <w:sz w:val="20"/>
          <w:highlight w:val="yellow"/>
          <w:lang w:val="en-US" w:eastAsia="zh-CN"/>
        </w:rPr>
        <w:t>精密加工机床采用西门子S7-1500系列PLC，自带多种材料加工工艺数据库，配合振动传感器和小波包分析算法来监测刀具磨损情况，当特征频率超过预设的阈值时，系统就会自动执行换刀操作，双机械手配合工作状态下，刀库旋转加速度可以达到12rad/s²，单次换刀时间只有1.8s。为了解决机床热变形问题，PLC和16路热电偶一起采集温度场的数据，利用数字孪生模型来预测主轴伸长量，从而动态地调节冷却液的流量。从现场应用数据可知，此套控制方案可以使得机床加工精度稳定性提高40%、刀具使用寿命提高35%以上，完全满足精密模具加工的要求</w:t>
      </w:r>
      <w:r>
        <w:rPr>
          <w:rFonts w:ascii="宋体" w:hAnsi="宋体" w:hint="eastAsia"/>
          <w:color w:val="0000FF"/>
          <w:sz w:val="20"/>
          <w:highlight w:val="yellow"/>
          <w:vertAlign w:val="superscript"/>
          <w:lang w:val="en-US" w:eastAsia="zh-CN"/>
        </w:rPr>
        <w:t>[3]</w:t>
      </w:r>
      <w:r>
        <w:rPr>
          <w:rFonts w:ascii="宋体" w:hAnsi="宋体" w:hint="eastAsia"/>
          <w:color w:val="0000FF"/>
          <w:sz w:val="20"/>
          <w:highlight w:val="yellow"/>
          <w:lang w:val="en-US" w:eastAsia="zh-CN"/>
        </w:rPr>
        <w:t>。</w:t>
      </w:r>
    </w:p>
    <w:p w14:paraId="107E6508">
      <w:pPr>
        <w:spacing w:line="340" w:lineRule="exact"/>
        <w:ind w:firstLine="400" w:firstLineChars="200"/>
        <w:rPr>
          <w:rFonts w:ascii="宋体" w:eastAsia="宋体" w:hAnsi="宋体" w:hint="eastAsia"/>
          <w:color w:val="0000FF"/>
          <w:sz w:val="20"/>
          <w:lang w:val="en-US" w:eastAsia="zh-CN"/>
        </w:rPr>
      </w:pPr>
    </w:p>
    <w:p w14:paraId="36A8FC6D">
      <w:pPr>
        <w:spacing w:line="340" w:lineRule="exact"/>
        <w:ind w:firstLine="400" w:firstLineChars="200"/>
        <w:rPr>
          <w:rFonts w:ascii="宋体" w:eastAsia="宋体" w:hAnsi="宋体" w:hint="eastAsia"/>
          <w:color w:val="0000FF"/>
          <w:sz w:val="20"/>
          <w:lang w:val="en-US" w:eastAsia="zh-CN"/>
        </w:rPr>
      </w:pPr>
      <w:r>
        <w:rPr>
          <w:rFonts w:ascii="宋体" w:eastAsia="宋体" w:hAnsi="宋体" w:hint="eastAsia"/>
          <w:color w:val="0000FF"/>
          <w:sz w:val="20"/>
          <w:lang w:val="en-US" w:eastAsia="zh-CN"/>
        </w:rPr>
        <w:t>3.2.1智能变电站控制</w:t>
      </w:r>
    </w:p>
    <w:p w14:paraId="1EB0D17E">
      <w:pPr>
        <w:spacing w:line="340" w:lineRule="exact"/>
        <w:ind w:firstLine="400" w:firstLineChars="200"/>
        <w:rPr>
          <w:rFonts w:ascii="宋体" w:hAnsi="宋体" w:hint="eastAsia"/>
          <w:color w:val="0000FF"/>
          <w:sz w:val="20"/>
        </w:rPr>
      </w:pPr>
      <w:r>
        <w:rPr>
          <w:rFonts w:ascii="宋体" w:hAnsi="宋体" w:hint="eastAsia"/>
          <w:color w:val="0000FF"/>
          <w:sz w:val="20"/>
          <w:highlight w:val="yellow"/>
          <w:lang w:val="en-US" w:eastAsia="zh-CN"/>
        </w:rPr>
        <w:t>500kV智能变电站用施耐德M580系列PLC建立间隔层控制单元，集成GOOSE高速通信方式，设备保护动作响应时间小于10ms，系统依靠采集线路暂态行波信号并运用小波变换算法来完成故障定位，定位误差可以保持在±200m以内。PLC每20ms对无功补偿进行一次运算，用模型预测控制算法得出电容器投切方案，与SVG动态补偿装置配合使用后，电网电压在±5%波动范围之内，功率因数保持在0.98以上。设备自带深度包检测模块，可以抵御主流工业协议网络攻击，保证电力控制指令的安全传输。</w:t>
      </w:r>
    </w:p>
    <w:p w14:paraId="45CC0F62">
      <w:pPr>
        <w:adjustRightInd w:val="0"/>
        <w:spacing w:before="40" w:after="20" w:line="360" w:lineRule="exact"/>
        <w:jc w:val="left"/>
        <w:rPr>
          <w:rFonts w:ascii="黑体" w:eastAsia="黑体" w:hAnsi="黑体" w:hint="eastAsia"/>
          <w:color w:val="0000FF"/>
          <w:sz w:val="22"/>
        </w:rPr>
      </w:pPr>
    </w:p>
    <w:p w14:paraId="63E85EFD">
      <w:pPr>
        <w:spacing w:line="340" w:lineRule="exact"/>
        <w:ind w:firstLine="400" w:firstLineChars="200"/>
        <w:rPr>
          <w:rFonts w:ascii="宋体" w:eastAsia="宋体" w:hAnsi="宋体" w:hint="eastAsia"/>
          <w:color w:val="0000FF"/>
          <w:sz w:val="20"/>
          <w:lang w:val="en-US" w:eastAsia="zh-CN"/>
        </w:rPr>
      </w:pPr>
      <w:r>
        <w:rPr>
          <w:rFonts w:ascii="宋体" w:eastAsia="宋体" w:hAnsi="宋体" w:hint="eastAsia"/>
          <w:color w:val="0000FF"/>
          <w:sz w:val="20"/>
          <w:lang w:val="en-US" w:eastAsia="zh-CN"/>
        </w:rPr>
        <w:t>3.3.1精细化工反应器控制</w:t>
      </w:r>
    </w:p>
    <w:p w14:paraId="3DBE581C">
      <w:pPr>
        <w:spacing w:line="340" w:lineRule="exact"/>
        <w:ind w:firstLine="400" w:firstLineChars="200"/>
        <w:rPr>
          <w:rFonts w:ascii="宋体" w:hAnsi="宋体" w:hint="eastAsia"/>
          <w:color w:val="0000FF"/>
          <w:sz w:val="20"/>
          <w:highlight w:val="yellow"/>
        </w:rPr>
      </w:pPr>
      <w:r>
        <w:rPr>
          <w:rFonts w:ascii="宋体" w:hAnsi="宋体" w:hint="eastAsia"/>
          <w:color w:val="0000FF"/>
          <w:sz w:val="20"/>
          <w:highlight w:val="yellow"/>
          <w:lang w:val="en-US" w:eastAsia="zh-CN"/>
        </w:rPr>
        <w:t>制药行业连续流微反应器使用Allen-Bradley ControlLogix PLC，20通道高精度温度模块，温度检测精度为±0.1℃，系统用串级控制和模型参考自适应控制来调节冷却介质流量，使反应体系温度波动控制在±0.5℃以内。系统集成近红外在线检测装置，用偏最小二乘法建立产品质量软测量模型，实时对比实测值和标准值，参数偏离标准范围的时候自动调节原料进料配比，整套控制方案落地之后，产品综合收率提高3.2%，生产批次之间质量差异明显减小。</w:t>
      </w:r>
    </w:p>
    <w:p w14:paraId="5714AB56">
      <w:pPr>
        <w:spacing w:line="340" w:lineRule="exact"/>
        <w:ind w:firstLine="400" w:firstLineChars="200"/>
        <w:rPr>
          <w:rFonts w:ascii="宋体" w:eastAsia="宋体" w:hAnsi="宋体" w:hint="eastAsia"/>
          <w:color w:val="0000FF"/>
          <w:sz w:val="20"/>
          <w:lang w:val="en-US" w:eastAsia="zh-CN"/>
        </w:rPr>
      </w:pPr>
      <w:r>
        <w:rPr>
          <w:rFonts w:ascii="宋体" w:eastAsia="宋体" w:hAnsi="宋体" w:hint="eastAsia"/>
          <w:color w:val="0000FF"/>
          <w:sz w:val="20"/>
          <w:lang w:val="en-US" w:eastAsia="zh-CN"/>
        </w:rPr>
        <w:t>3.3.2化工物流动态调度</w:t>
      </w:r>
    </w:p>
    <w:p w14:paraId="465BE9A6">
      <w:pPr>
        <w:spacing w:line="340" w:lineRule="exact"/>
        <w:ind w:firstLine="400" w:firstLineChars="200"/>
        <w:rPr>
          <w:rFonts w:ascii="宋体" w:hAnsi="宋体" w:hint="eastAsia"/>
          <w:color w:val="0000FF"/>
          <w:sz w:val="20"/>
          <w:highlight w:val="yellow"/>
        </w:rPr>
      </w:pPr>
      <w:r>
        <w:rPr>
          <w:rFonts w:ascii="宋体" w:hAnsi="宋体" w:hint="eastAsia"/>
          <w:color w:val="0000FF"/>
          <w:sz w:val="20"/>
          <w:highlight w:val="yellow"/>
          <w:lang w:val="en-US" w:eastAsia="zh-CN"/>
        </w:rPr>
        <w:t>聚酯生产原料输送系统依靠罗克韦尔PLC创建分布式控制网络，把48路质量流量计和16路压力变送器接入进来，系统采取事件驱动型调度算法，融合储罐液位，管道压力等约束条件，从而对泵组运行状况和运转转速实施即时调节。为了避免不同的原料混料，系统设置了双核验机制，用RFID标签和光谱分析仪双重核验物料信息，标签故障时自动切换到光谱检测模式。系统根据电网电价的变化来调节输送的时间，从而达到降低设备运行能耗的目的，据企业统计，该调度模式可以使得整套原料输送系统每年运行成本减少8.6%。</w:t>
      </w:r>
    </w:p>
    <w:p w14:paraId="4661F373">
      <w:pPr>
        <w:adjustRightInd w:val="0"/>
        <w:spacing w:before="40" w:after="20" w:line="360" w:lineRule="exact"/>
        <w:jc w:val="left"/>
        <w:rPr>
          <w:rFonts w:ascii="黑体" w:eastAsia="黑体" w:hAnsi="黑体" w:hint="eastAsia"/>
          <w:color w:val="0000FF"/>
          <w:sz w:val="22"/>
        </w:rPr>
      </w:pPr>
    </w:p>
    <w:p w14:paraId="05D9DF75">
      <w:pPr>
        <w:adjustRightInd w:val="0"/>
        <w:spacing w:before="40" w:after="20" w:line="360" w:lineRule="exact"/>
        <w:jc w:val="left"/>
        <w:rPr>
          <w:rFonts w:ascii="黑体" w:eastAsia="黑体" w:hAnsi="黑体" w:hint="eastAsia"/>
          <w:color w:val="0000FF"/>
          <w:sz w:val="22"/>
        </w:rPr>
      </w:pPr>
      <w:r>
        <w:rPr>
          <w:rFonts w:ascii="黑体" w:eastAsia="黑体" w:hAnsi="黑体" w:hint="eastAsia"/>
          <w:color w:val="0000FF"/>
          <w:sz w:val="22"/>
        </w:rPr>
        <w:t>4.1认知智能技术深度融合</w:t>
      </w:r>
    </w:p>
    <w:p w14:paraId="750A3629">
      <w:pPr>
        <w:spacing w:line="340" w:lineRule="exact"/>
        <w:ind w:firstLine="400" w:firstLineChars="200"/>
        <w:rPr>
          <w:rFonts w:ascii="宋体" w:hAnsi="宋体" w:hint="eastAsia"/>
          <w:color w:val="0000FF"/>
          <w:sz w:val="20"/>
          <w:highlight w:val="yellow"/>
          <w:lang w:val="en-US" w:eastAsia="zh-CN"/>
        </w:rPr>
      </w:pPr>
      <w:r>
        <w:rPr>
          <w:rFonts w:ascii="宋体" w:hAnsi="宋体" w:hint="eastAsia"/>
          <w:color w:val="0000FF"/>
          <w:sz w:val="20"/>
          <w:lang w:val="en-US" w:eastAsia="zh-CN"/>
        </w:rPr>
        <w:t>工业人工智能技术不断发展，PLC由原来的只执行指令的单元逐渐成为有自主分析能力的智能控制终端，边缘计算模块的加入使PLC可以在本地做AI推理运算，不需要把全部数据传到云端处理。光伏控制设</w:t>
      </w:r>
      <w:r>
        <w:rPr>
          <w:rFonts w:ascii="宋体" w:hAnsi="宋体" w:hint="eastAsia"/>
          <w:color w:val="0000FF"/>
          <w:sz w:val="20"/>
          <w:highlight w:val="yellow"/>
          <w:lang w:val="en-US" w:eastAsia="zh-CN"/>
        </w:rPr>
        <w:t>备中PLC加上数字孪生引擎来创建设备虚拟模型，再利用强化学习算法改进光伏板追踪角度，现场应用可以提升4.2%的发电效率。迁移学习算法被用在设备故障预测方面，可以将振动频谱、运维记录等各种数据融合起来，风电场用它来完成齿轮箱故障预测准确率高达92%，从而大大缩短了非计划停机的时间</w:t>
      </w:r>
      <w:r>
        <w:rPr>
          <w:rFonts w:ascii="宋体" w:hAnsi="宋体" w:hint="eastAsia"/>
          <w:color w:val="0000FF"/>
          <w:sz w:val="20"/>
          <w:highlight w:val="yellow"/>
          <w:vertAlign w:val="superscript"/>
          <w:lang w:val="en-US" w:eastAsia="zh-CN"/>
        </w:rPr>
        <w:t>[4]</w:t>
      </w:r>
      <w:r>
        <w:rPr>
          <w:rFonts w:ascii="宋体" w:hAnsi="宋体" w:hint="eastAsia"/>
          <w:color w:val="0000FF"/>
          <w:sz w:val="20"/>
          <w:highlight w:val="yellow"/>
          <w:lang w:val="en-US" w:eastAsia="zh-CN"/>
        </w:rPr>
        <w:t>。</w:t>
      </w:r>
    </w:p>
    <w:p w14:paraId="0124D623">
      <w:pPr>
        <w:adjustRightInd w:val="0"/>
        <w:spacing w:before="40" w:after="20" w:line="360" w:lineRule="exact"/>
        <w:jc w:val="left"/>
        <w:rPr>
          <w:rFonts w:ascii="黑体" w:eastAsia="黑体" w:hAnsi="黑体" w:hint="eastAsia"/>
          <w:color w:val="0000FF"/>
          <w:sz w:val="22"/>
        </w:rPr>
      </w:pPr>
    </w:p>
    <w:p w14:paraId="3CEA5F4F">
      <w:pPr>
        <w:adjustRightInd w:val="0"/>
        <w:spacing w:before="40" w:after="20" w:line="360" w:lineRule="exact"/>
        <w:jc w:val="left"/>
        <w:rPr>
          <w:rFonts w:ascii="黑体" w:eastAsia="黑体" w:hAnsi="黑体" w:hint="eastAsia"/>
          <w:color w:val="0000FF"/>
          <w:sz w:val="22"/>
        </w:rPr>
      </w:pPr>
      <w:bookmarkStart w:id="0" w:name="_GoBack"/>
      <w:bookmarkEnd w:id="0"/>
      <w:r>
        <w:rPr>
          <w:rFonts w:ascii="黑体" w:eastAsia="黑体" w:hAnsi="黑体" w:hint="eastAsia"/>
          <w:color w:val="0000FF"/>
          <w:sz w:val="22"/>
        </w:rPr>
        <w:t>4.3安全可信体系持续完善</w:t>
      </w:r>
    </w:p>
    <w:p w14:paraId="6F8F1BF1">
      <w:pPr>
        <w:spacing w:line="340" w:lineRule="exact"/>
        <w:ind w:firstLine="400" w:firstLineChars="200"/>
        <w:rPr>
          <w:rFonts w:ascii="宋体" w:hAnsi="宋体" w:hint="eastAsia"/>
          <w:color w:val="0000FF"/>
          <w:sz w:val="20"/>
          <w:lang w:val="en-US" w:eastAsia="zh-CN"/>
        </w:rPr>
      </w:pPr>
      <w:r>
        <w:rPr>
          <w:rFonts w:ascii="宋体" w:hAnsi="宋体" w:hint="eastAsia"/>
          <w:color w:val="0000FF"/>
          <w:sz w:val="20"/>
          <w:lang w:val="en-US" w:eastAsia="zh-CN"/>
        </w:rPr>
        <w:t>工业控制系统所面对的网络攻击、功能失效等风险被行业普遍关注，PLC在硬件和软件方面安全防护能力将会不断加强。硬件</w:t>
      </w:r>
      <w:r>
        <w:rPr>
          <w:rFonts w:ascii="宋体" w:hAnsi="宋体" w:hint="eastAsia"/>
          <w:color w:val="0000FF"/>
          <w:sz w:val="20"/>
          <w:highlight w:val="yellow"/>
          <w:lang w:val="en-US" w:eastAsia="zh-CN"/>
        </w:rPr>
        <w:t>端使用可信执行环境安全沙箱，电力SCADA系统采用该技术之后，网络安全事件的响应速度提高7倍。从功能安全角度来讲，符合IEC 61508 SIL3认证的新一代PLC，依靠冗余控制和自诊断技术，把危险失效概率控制在10⁻⁹/h量级。根据不同的行业应用规范，PLC还会符合轨道交通、核电等重要领域安全标准的要求，提高电磁防护、故障容错等基本性能。</w:t>
      </w:r>
    </w:p>
    <w:p w14:paraId="46860A39"/>
    <w:sectPr>
      <w:headerReference w:type="default" r:id="rId4"/>
      <w:footerReference w:type="default" r:id="rId5"/>
      <w:type w:val="continuous"/>
      <w:pgSz w:w="11906" w:h="16838"/>
      <w:pgMar w:top="1440" w:right="1077" w:bottom="1440" w:left="1077" w:header="851" w:footer="992" w:gutter="0"/>
      <w:pgNumType w:fmt="numberInDash"/>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Emoji">
    <w:panose1 w:val="020B0502040204020203"/>
    <w:charset w:val="00"/>
    <w:family w:val="auto"/>
    <w:pitch w:val="default"/>
    <w:sig w:usb0="00000001" w:usb1="02000000" w:usb2="08000000" w:usb3="00000000" w:csb0="0000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74FBE3B2">
    <w:pPr>
      <w:spacing w:line="240" w:lineRule="exact"/>
      <w:jc w:val="right"/>
      <w:rPr>
        <w:rFonts w:cs="Calibri"/>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55A9E9CA">
    <w:pPr>
      <w:pBdr>
        <w:bottom w:val="single" w:sz="4" w:space="1" w:color="auto"/>
      </w:pBdr>
      <w:tabs>
        <w:tab w:val="center" w:pos="4153"/>
        <w:tab w:val="right" w:pos="8306"/>
      </w:tabs>
      <w:snapToGrid w:val="0"/>
      <w:spacing w:line="240" w:lineRule="exact"/>
      <w:jc w:val="center"/>
    </w:pPr>
    <w:r>
      <w:rPr>
        <w:rFonts w:ascii="宋体" w:hAnsi="宋体" w:cs="宋体"/>
        <w:sz w:val="18"/>
        <w:szCs w:val="18"/>
      </w:rPr>
      <w:t>中文科技期刊数据库（引文版）工程技术</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F612D8"/>
    <w:rsid w:val="1CF612D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4"/>
      <w:lang w:val="en-US" w:eastAsia="zh-CN" w:bidi="ar-SA"/>
    </w:rPr>
  </w:style>
  <w:style w:type="paragraph" w:styleId="Heading1">
    <w:name w:val="heading 1"/>
    <w:basedOn w:val="Normal"/>
    <w:next w:val="Normal"/>
    <w:qFormat/>
    <w:pPr>
      <w:keepNext/>
      <w:keepLines/>
      <w:spacing w:before="340" w:after="330" w:line="578" w:lineRule="auto"/>
      <w:outlineLvl w:val="0"/>
    </w:pPr>
    <w:rPr>
      <w:bCs/>
      <w:kern w:val="44"/>
      <w:sz w:val="44"/>
      <w:szCs w:val="44"/>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NormalWeb">
    <w:name w:val="Normal (Web)"/>
    <w:basedOn w:val="Normal"/>
    <w:qFormat/>
    <w:pPr>
      <w:spacing w:beforeAutospacing="1" w:afterAutospacing="1"/>
      <w:jc w:val="left"/>
    </w:pPr>
    <w:rPr>
      <w:kern w:val="0"/>
      <w:sz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2026-07-16T03:59:00Z</dcterms:created>
  <dcterms:modified xsi:type="dcterms:W3CDTF">2026-07-16T08:42:18Z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AF8632802B5C483BAA56E2E08EA60D32_11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