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1.0 -->
  <w:body>
    <w:p w14:paraId="01F4117B">
      <w:pPr>
        <w:spacing w:line="340" w:lineRule="exact"/>
        <w:ind w:firstLine="400" w:firstLineChars="200"/>
        <w:rPr>
          <w:rFonts w:ascii="宋体" w:hAnsi="宋体" w:hint="eastAsia"/>
          <w:color w:val="0000FF"/>
          <w:sz w:val="20"/>
          <w:lang w:val="en-US" w:eastAsia="zh-CN"/>
        </w:rPr>
      </w:pPr>
    </w:p>
    <w:p w14:paraId="5A483709">
      <w:pPr>
        <w:spacing w:line="340" w:lineRule="exact"/>
        <w:ind w:firstLine="400" w:firstLineChars="200"/>
        <w:rPr>
          <w:rFonts w:ascii="宋体" w:eastAsia="宋体" w:hAnsi="宋体" w:hint="eastAsia"/>
          <w:color w:val="0000FF"/>
          <w:sz w:val="20"/>
          <w:lang w:val="en-US" w:eastAsia="zh-CN"/>
        </w:rPr>
      </w:pPr>
      <w:r>
        <w:rPr>
          <w:rFonts w:ascii="宋体" w:eastAsia="宋体" w:hAnsi="宋体" w:hint="eastAsia"/>
          <w:color w:val="0000FF"/>
          <w:sz w:val="20"/>
          <w:lang w:val="en-US" w:eastAsia="zh-CN"/>
        </w:rPr>
        <w:t>3.1.2高端机床智能管控</w:t>
      </w:r>
    </w:p>
    <w:p w14:paraId="04CBCA4E">
      <w:pPr>
        <w:spacing w:line="340" w:lineRule="exact"/>
        <w:ind w:firstLine="400" w:firstLineChars="200"/>
        <w:rPr>
          <w:rFonts w:ascii="宋体" w:hAnsi="宋体" w:hint="eastAsia"/>
          <w:color w:val="0000FF"/>
          <w:sz w:val="20"/>
          <w:highlight w:val="yellow"/>
          <w:lang w:val="en-US" w:eastAsia="zh-CN"/>
        </w:rPr>
      </w:pPr>
      <w:r>
        <w:rPr>
          <w:rFonts w:ascii="宋体" w:hAnsi="宋体" w:hint="eastAsia"/>
          <w:color w:val="0000FF"/>
          <w:sz w:val="20"/>
          <w:highlight w:val="yellow"/>
          <w:lang w:val="en-US" w:eastAsia="zh-CN"/>
        </w:rPr>
        <w:t>西门子S7-1500系列控制器被应用于高精度切削设备，内嵌多类材质工艺参数库，结合振动传感与小波包解析技术，实时追踪刀具损耗状态。一旦检测到特定频段幅值越限，系统即触发自动换刀机制。双臂协同作业时，刀塔角加速度峰值达12弧度每二次方秒，单次更换耗时仅1.8秒</w:t>
      </w:r>
      <w:r>
        <w:rPr>
          <w:rFonts w:ascii="宋体" w:hAnsi="宋体" w:hint="eastAsia"/>
          <w:color w:val="0000FF"/>
          <w:sz w:val="20"/>
          <w:highlight w:val="yellow"/>
          <w:vertAlign w:val="superscript"/>
          <w:lang w:val="en-US" w:eastAsia="zh-CN"/>
        </w:rPr>
        <w:t>[3]</w:t>
      </w:r>
      <w:r>
        <w:rPr>
          <w:rFonts w:ascii="宋体" w:hAnsi="宋体" w:hint="eastAsia"/>
          <w:color w:val="0000FF"/>
          <w:sz w:val="20"/>
          <w:highlight w:val="yellow"/>
          <w:lang w:val="en-US" w:eastAsia="zh-CN"/>
        </w:rPr>
        <w:t>。为抑制机床热变形，系统借助PLC与十六通道热电偶协同采集温场信息，并依托数字孪生技术预估主轴轴向位移，据此实时调控冷却介质供给速率。实际运行数据显示，该控制策略显著提升设备加工精度的稳定性，增幅达四成；同时刀具耐用性亦跃升逾三成五，充分契合高精度模具制造之严苛标准。</w:t>
      </w:r>
    </w:p>
    <w:p w14:paraId="107E6508">
      <w:pPr>
        <w:spacing w:line="340" w:lineRule="exact"/>
        <w:ind w:firstLine="400" w:firstLineChars="200"/>
        <w:rPr>
          <w:rFonts w:ascii="宋体" w:eastAsia="宋体" w:hAnsi="宋体" w:hint="eastAsia"/>
          <w:color w:val="0000FF"/>
          <w:sz w:val="20"/>
          <w:lang w:val="en-US" w:eastAsia="zh-CN"/>
        </w:rPr>
      </w:pPr>
    </w:p>
    <w:p w14:paraId="36A8FC6D">
      <w:pPr>
        <w:spacing w:line="340" w:lineRule="exact"/>
        <w:ind w:firstLine="400" w:firstLineChars="200"/>
        <w:rPr>
          <w:rFonts w:ascii="宋体" w:eastAsia="宋体" w:hAnsi="宋体" w:hint="eastAsia"/>
          <w:color w:val="0000FF"/>
          <w:sz w:val="20"/>
          <w:lang w:val="en-US" w:eastAsia="zh-CN"/>
        </w:rPr>
      </w:pPr>
      <w:r>
        <w:rPr>
          <w:rFonts w:ascii="宋体" w:eastAsia="宋体" w:hAnsi="宋体" w:hint="eastAsia"/>
          <w:color w:val="0000FF"/>
          <w:sz w:val="20"/>
          <w:lang w:val="en-US" w:eastAsia="zh-CN"/>
        </w:rPr>
        <w:t>3.2.1智能变电站控制</w:t>
      </w:r>
    </w:p>
    <w:p w14:paraId="1EB0D17E">
      <w:pPr>
        <w:spacing w:line="340" w:lineRule="exact"/>
        <w:ind w:firstLine="400" w:firstLineChars="200"/>
        <w:rPr>
          <w:rFonts w:ascii="宋体" w:hAnsi="宋体" w:hint="eastAsia"/>
          <w:color w:val="0000FF"/>
          <w:sz w:val="20"/>
        </w:rPr>
      </w:pPr>
      <w:r>
        <w:rPr>
          <w:rFonts w:ascii="宋体" w:hAnsi="宋体" w:hint="eastAsia"/>
          <w:color w:val="0000FF"/>
          <w:sz w:val="20"/>
          <w:highlight w:val="yellow"/>
          <w:lang w:val="en-US" w:eastAsia="zh-CN"/>
        </w:rPr>
        <w:t>在500kV智能化变电站中，采用施耐德M580系列可编程控制器构建间隔层控制模块，融合GOOSE快速通信机制，使保护装置响应时延低于10毫秒。系统通过捕获线路暂态行波数据，结合小波分析算法实现精准故障测距，误差范围可控于正负二百米之内。每隔20毫秒，PLC即执行一次无功优化计算，依托模型预测控制策略生成电容组投切指令，协同SVG实现动态补偿，使电网电压稳定于标称值±5%区间内，同时功率因数始终高于0.98。该装置内嵌深度数据包分析功能，可有效防范针对主流工控协议的网络威胁，确保电力指令在传输过程中的安全性与完整性。</w:t>
      </w:r>
    </w:p>
    <w:p w14:paraId="45CC0F62">
      <w:pPr>
        <w:adjustRightInd w:val="0"/>
        <w:spacing w:before="40" w:after="20" w:line="360" w:lineRule="exact"/>
        <w:jc w:val="left"/>
        <w:rPr>
          <w:rFonts w:ascii="黑体" w:eastAsia="黑体" w:hAnsi="黑体" w:hint="eastAsia"/>
          <w:color w:val="0000FF"/>
          <w:sz w:val="22"/>
        </w:rPr>
      </w:pPr>
    </w:p>
    <w:p w14:paraId="63E85EFD">
      <w:pPr>
        <w:spacing w:line="340" w:lineRule="exact"/>
        <w:ind w:firstLine="400" w:firstLineChars="200"/>
        <w:rPr>
          <w:rFonts w:ascii="宋体" w:eastAsia="宋体" w:hAnsi="宋体" w:hint="eastAsia"/>
          <w:color w:val="0000FF"/>
          <w:sz w:val="20"/>
          <w:lang w:val="en-US" w:eastAsia="zh-CN"/>
        </w:rPr>
      </w:pPr>
      <w:r>
        <w:rPr>
          <w:rFonts w:ascii="宋体" w:eastAsia="宋体" w:hAnsi="宋体" w:hint="eastAsia"/>
          <w:color w:val="0000FF"/>
          <w:sz w:val="20"/>
          <w:lang w:val="en-US" w:eastAsia="zh-CN"/>
        </w:rPr>
        <w:t>3.3.1精细化工反应器控制</w:t>
      </w:r>
    </w:p>
    <w:p w14:paraId="3DBE581C">
      <w:pPr>
        <w:spacing w:line="340" w:lineRule="exact"/>
        <w:ind w:firstLine="400" w:firstLineChars="200"/>
        <w:rPr>
          <w:rFonts w:ascii="宋体" w:hAnsi="宋体" w:hint="eastAsia"/>
          <w:color w:val="0000FF"/>
          <w:sz w:val="20"/>
          <w:highlight w:val="yellow"/>
        </w:rPr>
      </w:pPr>
      <w:r>
        <w:rPr>
          <w:rFonts w:ascii="宋体" w:hAnsi="宋体" w:hint="eastAsia"/>
          <w:color w:val="0000FF"/>
          <w:sz w:val="20"/>
          <w:highlight w:val="yellow"/>
          <w:lang w:val="en-US" w:eastAsia="zh-CN"/>
        </w:rPr>
        <w:t>在制药领域，连续流微反应装置依托Allen-Bradley ControlLogix可编程控制器，配合具备20路测温能力的高灵敏度模块，实现±0.1℃的温感分辨率。通过串级反馈与模型自适应算法协同调控冷却剂输送速率，成功将反应环境温差稳定于半度区间之内。通过嵌入近红外在线监测模块，结合偏最小二乘算法构建产品品质软测量体系，实现对实测数据与基准值的动态比对；一旦关键参数超出设定阈值，系统即自主调整投料比例。该控制策略实施后，整体产出效率提升3.2%，批次间质量波动显著收敛。</w:t>
      </w:r>
    </w:p>
    <w:p w14:paraId="5714AB56">
      <w:pPr>
        <w:spacing w:line="340" w:lineRule="exact"/>
        <w:ind w:firstLine="400" w:firstLineChars="200"/>
        <w:rPr>
          <w:rFonts w:ascii="宋体" w:eastAsia="宋体" w:hAnsi="宋体" w:hint="eastAsia"/>
          <w:color w:val="0000FF"/>
          <w:sz w:val="20"/>
          <w:lang w:val="en-US" w:eastAsia="zh-CN"/>
        </w:rPr>
      </w:pPr>
      <w:r>
        <w:rPr>
          <w:rFonts w:ascii="宋体" w:eastAsia="宋体" w:hAnsi="宋体" w:hint="eastAsia"/>
          <w:color w:val="0000FF"/>
          <w:sz w:val="20"/>
          <w:lang w:val="en-US" w:eastAsia="zh-CN"/>
        </w:rPr>
        <w:t>3.3.2化工物流动态调度</w:t>
      </w:r>
    </w:p>
    <w:p w14:paraId="465BE9A6">
      <w:pPr>
        <w:spacing w:line="340" w:lineRule="exact"/>
        <w:ind w:firstLine="400" w:firstLineChars="200"/>
        <w:rPr>
          <w:rFonts w:ascii="宋体" w:hAnsi="宋体" w:hint="eastAsia"/>
          <w:color w:val="0000FF"/>
          <w:sz w:val="20"/>
          <w:highlight w:val="yellow"/>
        </w:rPr>
      </w:pPr>
      <w:r>
        <w:rPr>
          <w:rFonts w:ascii="宋体" w:hAnsi="宋体" w:hint="eastAsia"/>
          <w:color w:val="0000FF"/>
          <w:sz w:val="20"/>
          <w:highlight w:val="yellow"/>
          <w:lang w:val="en-US" w:eastAsia="zh-CN"/>
        </w:rPr>
        <w:t>依托罗克韦尔PLC构建的分布式管控架构，该聚酯原料输送体系整合了48台质量流量检测装置与16个压力传感单元。通过事件触发式调度策略，结合储槽液位及管路压强等多重限制参数，实现对泵机工况与转速的动态精准调控。为杜绝原料混淆，系统引入双重验证策略，结合RFID标识与光谱识别技术协同校验；一旦标签失效，即刻转由光谱手段接管检测任务。依据电力价格波动灵活调整物料输送时段，有效压降设备能耗。企业数据显示，此优化调度策略可使整套输送体系年均开支缩减8.6%。</w:t>
      </w:r>
    </w:p>
    <w:p w14:paraId="4661F373">
      <w:pPr>
        <w:adjustRightInd w:val="0"/>
        <w:spacing w:before="40" w:after="20" w:line="360" w:lineRule="exact"/>
        <w:jc w:val="left"/>
        <w:rPr>
          <w:rFonts w:ascii="黑体" w:eastAsia="黑体" w:hAnsi="黑体" w:hint="eastAsia"/>
          <w:color w:val="0000FF"/>
          <w:sz w:val="22"/>
        </w:rPr>
      </w:pPr>
    </w:p>
    <w:p w14:paraId="05D9DF75">
      <w:pPr>
        <w:adjustRightInd w:val="0"/>
        <w:spacing w:before="40" w:after="20" w:line="360" w:lineRule="exact"/>
        <w:jc w:val="left"/>
        <w:rPr>
          <w:rFonts w:ascii="黑体" w:eastAsia="黑体" w:hAnsi="黑体" w:hint="eastAsia"/>
          <w:color w:val="0000FF"/>
          <w:sz w:val="22"/>
        </w:rPr>
      </w:pPr>
      <w:r>
        <w:rPr>
          <w:rFonts w:ascii="黑体" w:eastAsia="黑体" w:hAnsi="黑体" w:hint="eastAsia"/>
          <w:color w:val="0000FF"/>
          <w:sz w:val="22"/>
        </w:rPr>
        <w:t>4.1认知智能技术深度融合</w:t>
      </w:r>
    </w:p>
    <w:p w14:paraId="750A3629">
      <w:pPr>
        <w:spacing w:line="340" w:lineRule="exact"/>
        <w:ind w:firstLine="400" w:firstLineChars="200"/>
        <w:rPr>
          <w:rFonts w:ascii="宋体" w:hAnsi="宋体" w:hint="eastAsia"/>
          <w:color w:val="0000FF"/>
          <w:sz w:val="20"/>
          <w:highlight w:val="yellow"/>
          <w:lang w:val="en-US" w:eastAsia="zh-CN"/>
        </w:rPr>
      </w:pPr>
      <w:r>
        <w:rPr>
          <w:rFonts w:ascii="宋体" w:hAnsi="宋体" w:hint="eastAsia"/>
          <w:color w:val="0000FF"/>
          <w:sz w:val="20"/>
          <w:lang w:val="en-US" w:eastAsia="zh-CN"/>
        </w:rPr>
        <w:t>随着工业智能技术持续演进，传统仅负责指令执行的PLC，已逐步转型为具备自主决策能力的智能控制节点。得益于边缘计算模块的集成，其可在本地</w:t>
      </w:r>
      <w:r>
        <w:rPr>
          <w:rFonts w:ascii="宋体" w:hAnsi="宋体" w:hint="eastAsia"/>
          <w:color w:val="0000FF"/>
          <w:sz w:val="20"/>
          <w:highlight w:val="yellow"/>
          <w:lang w:val="en-US" w:eastAsia="zh-CN"/>
        </w:rPr>
        <w:t>完成AI推理任务，无需将海量数据上传至云端进行处理。在光伏系统调控装置内，结合可编程逻辑控制器与数字孪生技术构建虚拟映射体，并引入强化学习机制优化太阳板方位追踪策略，实测表明其发电效能可提升4.2%</w:t>
      </w:r>
      <w:r>
        <w:rPr>
          <w:rFonts w:ascii="宋体" w:hAnsi="宋体" w:hint="eastAsia"/>
          <w:color w:val="0000FF"/>
          <w:sz w:val="20"/>
          <w:highlight w:val="yellow"/>
          <w:vertAlign w:val="superscript"/>
          <w:lang w:val="en-US" w:eastAsia="zh-CN"/>
        </w:rPr>
        <w:t>[4]</w:t>
      </w:r>
      <w:r>
        <w:rPr>
          <w:rFonts w:ascii="宋体" w:hAnsi="宋体" w:hint="eastAsia"/>
          <w:color w:val="0000FF"/>
          <w:sz w:val="20"/>
          <w:highlight w:val="yellow"/>
          <w:lang w:val="en-US" w:eastAsia="zh-CN"/>
        </w:rPr>
        <w:t>。借助迁移学习技术，风电场可整合振动频谱与运行维护数据，实现齿轮箱故障的高效预判，准确率跃升至92%，显著降低意外停机时长。</w:t>
      </w:r>
    </w:p>
    <w:p w14:paraId="0124D623">
      <w:pPr>
        <w:adjustRightInd w:val="0"/>
        <w:spacing w:before="40" w:after="20" w:line="360" w:lineRule="exact"/>
        <w:jc w:val="left"/>
        <w:rPr>
          <w:rFonts w:ascii="黑体" w:eastAsia="黑体" w:hAnsi="黑体" w:hint="eastAsia"/>
          <w:color w:val="0000FF"/>
          <w:sz w:val="22"/>
        </w:rPr>
      </w:pPr>
    </w:p>
    <w:p w14:paraId="3CEA5F4F">
      <w:pPr>
        <w:adjustRightInd w:val="0"/>
        <w:spacing w:before="40" w:after="20" w:line="360" w:lineRule="exact"/>
        <w:jc w:val="left"/>
        <w:rPr>
          <w:rFonts w:ascii="黑体" w:eastAsia="黑体" w:hAnsi="黑体" w:hint="eastAsia"/>
          <w:color w:val="0000FF"/>
          <w:sz w:val="22"/>
        </w:rPr>
      </w:pPr>
      <w:bookmarkStart w:id="0" w:name="_GoBack"/>
      <w:bookmarkEnd w:id="0"/>
      <w:r>
        <w:rPr>
          <w:rFonts w:ascii="黑体" w:eastAsia="黑体" w:hAnsi="黑体" w:hint="eastAsia"/>
          <w:color w:val="0000FF"/>
          <w:sz w:val="22"/>
        </w:rPr>
        <w:t>4.3安全可信体系持续完善</w:t>
      </w:r>
    </w:p>
    <w:p w14:paraId="6F8F1BF1">
      <w:pPr>
        <w:spacing w:line="340" w:lineRule="exact"/>
        <w:ind w:firstLine="400" w:firstLineChars="200"/>
        <w:rPr>
          <w:rFonts w:ascii="宋体" w:hAnsi="宋体" w:hint="eastAsia"/>
          <w:color w:val="0000FF"/>
          <w:sz w:val="20"/>
          <w:lang w:val="en-US" w:eastAsia="zh-CN"/>
        </w:rPr>
      </w:pPr>
      <w:r>
        <w:rPr>
          <w:rFonts w:ascii="宋体" w:hAnsi="宋体" w:hint="eastAsia"/>
          <w:color w:val="0000FF"/>
          <w:sz w:val="20"/>
          <w:lang w:val="en-US" w:eastAsia="zh-CN"/>
        </w:rPr>
        <w:t>业界高度聚焦工控系统所遭遇的网络威胁与运行故障，未来可编程逻辑控制器将在软硬件层面持续提升其安全防御水平。依托硬件级可信执</w:t>
      </w:r>
      <w:r>
        <w:rPr>
          <w:rFonts w:ascii="宋体" w:hAnsi="宋体" w:hint="eastAsia"/>
          <w:color w:val="0000FF"/>
          <w:sz w:val="20"/>
          <w:highlight w:val="yellow"/>
          <w:lang w:val="en-US" w:eastAsia="zh-CN"/>
        </w:rPr>
        <w:t>行环境构建安全隔离机制，电力监控系统引入此方案后，其网络威胁处置效率跃升至原先七倍之多。新一代可编程逻辑控制器通过冗余架构与自主诊断机制，将致命故障发生率抑制至每小时十亿分之一以下，其安全性能已满足IEC 61508标准中SIL3等级要求。依据各行业特定规范，可编程控制器需满足轨道交通、核电等关键领域的安全准则，并在电磁兼容性与系统容错能力等核心指标上实现性能强化。</w:t>
      </w:r>
    </w:p>
    <w:p w14:paraId="46860A39"/>
    <w:sectPr>
      <w:headerReference w:type="default" r:id="rId4"/>
      <w:footerReference w:type="default" r:id="rId5"/>
      <w:type w:val="continuous"/>
      <w:pgSz w:w="11906" w:h="16838"/>
      <w:pgMar w:top="1440" w:right="1077" w:bottom="1440" w:left="1077" w:header="851" w:footer="992" w:gutter="0"/>
      <w:pgNumType w:fmt="numberInDash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4FBE3B2">
    <w:pPr>
      <w:spacing w:line="240" w:lineRule="exact"/>
      <w:jc w:val="right"/>
      <w:rPr>
        <w:rFonts w:cs="Calibri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55A9E9CA">
    <w:pPr>
      <w:pBdr>
        <w:bottom w:val="single" w:sz="4" w:space="1" w:color="auto"/>
      </w:pBdr>
      <w:tabs>
        <w:tab w:val="center" w:pos="4153"/>
        <w:tab w:val="right" w:pos="8306"/>
      </w:tabs>
      <w:snapToGrid w:val="0"/>
      <w:spacing w:line="240" w:lineRule="exact"/>
      <w:jc w:val="center"/>
    </w:pPr>
    <w:r>
      <w:rPr>
        <w:rFonts w:ascii="宋体" w:hAnsi="宋体" w:cs="宋体"/>
        <w:sz w:val="18"/>
        <w:szCs w:val="18"/>
      </w:rPr>
      <w:t>中文科技期刊数据库（引文版）工程技术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CF612D8"/>
    <w:rsid w:val="1CF612D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Cs/>
      <w:kern w:val="44"/>
      <w:sz w:val="44"/>
      <w:szCs w:val="4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kern w:val="0"/>
      <w:sz w:val="24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Resurgam</dc:creator>
  <cp:lastModifiedBy>Resurgam</cp:lastModifiedBy>
  <cp:revision>1</cp:revision>
  <dcterms:created xsi:type="dcterms:W3CDTF">2026-07-16T03:59:00Z</dcterms:created>
  <dcterms:modified xsi:type="dcterms:W3CDTF">2026-07-16T08:42:18Z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AF8632802B5C483BAA56E2E08EA60D32_11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eyJoZGlkIjoiYTk3YmY3NWQ0YmNmZGVmMTdjYzMzOTgyZjgzMDQwZTkiLCJ1c2VySWQiOiIyNDYyMTY4NzMifQ==</vt:lpwstr>
  </property>
</Properties>
</file>