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F0BD01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二是规范辖区内农机维修网点服务标准，对辖区内现有的农机维修经营主体进行摸排登记，建立农机维修网点台账，定期组织维修人员开展技术培训，明确不同类型农机的维保操作规范和收费标准，引导维修网点明码标价，提高服务的规范性，将符合条件的维修网点纳入农机维保服务体系，作为基层维保服务的补充力量，为农户提供专业的深度维保服务。三是创建线上维保咨询渠道，创建辖区农机手线上交流群，安排监理人员和维修技术人员轮流值班，及时回答农户在维保过程中遇到的问题，对于农户提出的问题可以通过视频连线的方式指导农户进行初步的排查和简单的处理，提高问题解决的时效性，定期在群内发布不同农时对应的维保注意事项，提醒农户及时进行相应的保养。</w:t>
      </w:r>
    </w:p>
    <w:p w14:paraId="5E26C42A">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bCs/>
          <w:color w:val="000000"/>
          <w:sz w:val="21"/>
          <w:szCs w:val="21"/>
        </w:rPr>
      </w:pPr>
      <w:r>
        <w:rPr>
          <w:rFonts w:cs="宋体" w:hint="eastAsia"/>
          <w:b/>
          <w:bCs/>
          <w:color w:val="000000"/>
          <w:sz w:val="21"/>
          <w:szCs w:val="21"/>
          <w:lang w:val="en-US" w:eastAsia="zh-CN"/>
        </w:rPr>
        <w:t>3.3</w:t>
      </w:r>
      <w:r>
        <w:rPr>
          <w:rFonts w:ascii="宋体" w:eastAsia="宋体" w:hAnsi="宋体" w:cs="宋体" w:hint="eastAsia"/>
          <w:b/>
          <w:bCs/>
          <w:color w:val="000000"/>
          <w:sz w:val="21"/>
          <w:szCs w:val="21"/>
        </w:rPr>
        <w:t>完善农机维保的常态化督导机制</w:t>
      </w:r>
    </w:p>
    <w:p w14:paraId="2DE441B3">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农机维护保养的落实效果不能依靠短暂的督导约束来实现，零散式的、突击式的检查很难形成稳定的行为引导，常态化的督导机制才是保证维保要求嵌入到农机日常使用全流程的关键保障</w:t>
      </w:r>
      <w:r>
        <w:rPr>
          <w:rFonts w:ascii="宋体" w:eastAsia="宋体" w:hAnsi="宋体" w:cs="宋体" w:hint="eastAsia"/>
          <w:b w:val="0"/>
          <w:bCs w:val="0"/>
          <w:color w:val="000000"/>
          <w:kern w:val="0"/>
          <w:sz w:val="21"/>
          <w:szCs w:val="21"/>
          <w:vertAlign w:val="superscript"/>
          <w:lang w:val="en-US" w:eastAsia="zh-CN" w:bidi="ar"/>
        </w:rPr>
        <w:t>[5]</w:t>
      </w:r>
      <w:r>
        <w:rPr>
          <w:rFonts w:ascii="宋体" w:eastAsia="宋体" w:hAnsi="宋体" w:cs="宋体" w:hint="eastAsia"/>
          <w:b w:val="0"/>
          <w:bCs w:val="0"/>
          <w:sz w:val="21"/>
          <w:szCs w:val="21"/>
        </w:rPr>
        <w:t>。另一方面创建台账化的全周期动态督导体系，对辖区在册登记的农业机械逐一建立专属维保管理档案，完整记载机具购置时间、累计作业时长、历次保养内容、故障维修记录等关键信息，依照不同的机具保养周期实施分级标记，提前向农机所有人发出维保提醒，对未按时完成保养的机具加以重点标注，列入后续现场核查的重点对象。以大中型拖拉机、联合收割机等高频率使用机器为例，在每一个季度的保养时间内，提前3天通过村级农机联络员上门告知相应的保养项目，并对连续两次没有保养的机器进行重点标记，纳入到每月的田间巡查必查清单中，从而实现维保进度的全过程跟踪。另一方面，把维保核查融入到现有的农机监管各项工作中，不单独设置专项检查环节，而是将维保状态核查嵌入到现有的农机监管各项工作中，在不增加农户额外负担的前提下完成维保情况的核查和督促，对核查中发现的维保缺失问题同时给出整改指引，跟踪后续落实情况。在农机年度检验、跨区作业备案、农忙季安全巡查等常规工作当中，把制动系统、转向部件、传动皮带这些重要部位的维保状况当作必查项目，对于存在油管老化、部件松动等状况的机具现场发出整改提示，确定合理的整改期限，由属地监理人员进行跟踪复核，达成隐患排查和整改的完整闭环。</w:t>
      </w:r>
    </w:p>
    <w:p w14:paraId="3CB58FA9">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bCs/>
          <w:color w:val="000000"/>
          <w:sz w:val="21"/>
          <w:szCs w:val="21"/>
        </w:rPr>
      </w:pPr>
      <w:r>
        <w:rPr>
          <w:rFonts w:cs="宋体" w:hint="eastAsia"/>
          <w:b/>
          <w:bCs/>
          <w:color w:val="000000"/>
          <w:sz w:val="21"/>
          <w:szCs w:val="21"/>
          <w:lang w:val="en-US" w:eastAsia="zh-CN"/>
        </w:rPr>
        <w:t>3.4</w:t>
      </w:r>
      <w:r>
        <w:rPr>
          <w:rFonts w:ascii="宋体" w:eastAsia="宋体" w:hAnsi="宋体" w:cs="宋体" w:hint="eastAsia"/>
          <w:b/>
          <w:bCs/>
          <w:color w:val="000000"/>
          <w:sz w:val="21"/>
          <w:szCs w:val="21"/>
        </w:rPr>
        <w:t>强化基层监理队伍的维保服务能力</w:t>
      </w:r>
    </w:p>
    <w:p w14:paraId="3E76CBA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基层农机监理人员技术储备和服务意识是维保推进工作质量的主要影响因素，因此要健全监理人员维保技术培训体系，制定年度培训计划，每半年开展一次基层农机监理人员农机维保技术专项培训，邀请农机生产企业技术专家、高级维修技师授课，内容涵盖主流农机型号构造原理、保养规范、常见故障排查方法等，并增加实操训练部分，使监理人员亲自操作完成基本保养工作，掌握主要的检测与保养技能，培训结束后进行专项考核，考核合格者才能从事一线维保指导工作。其次建立分级指导机制，按照监理人员技术能力划分成不同层次，技术能力强的人员从事复杂的故障排除指导和新型农机的保养讲解工作，基础人员从事日常保养提醒、基本保养操作指导等基础工作，明确各个岗位的职责范围，保证农户各种维保需求都能得到及时回应，建立内部传帮带机制，有经验的监理人员带领新入职人员开展现场工作，逐步提高队伍整体服务水平。最后补充基层监理站点的维保检测设备，给乡镇级监理站点配备必要的农机检测工具，包括制动性能检测仪、灯光检测仪、胎压检测设备等基础检测仪器和常用的维修工具，满足日常维保检查和基础指导的硬件要求，建立设备管理制度，定期对检测设备进行校准和维护，保证检测结果的准确性，为维保督导和服务提供硬件支持。</w:t>
      </w:r>
    </w:p>
    <w:p w14:paraId="045CA682">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bCs/>
          <w:color w:val="000000"/>
          <w:sz w:val="21"/>
          <w:szCs w:val="21"/>
        </w:rPr>
      </w:pPr>
      <w:r>
        <w:rPr>
          <w:rFonts w:cs="宋体" w:hint="eastAsia"/>
          <w:b/>
          <w:bCs/>
          <w:color w:val="000000"/>
          <w:sz w:val="21"/>
          <w:szCs w:val="21"/>
          <w:lang w:val="en-US" w:eastAsia="zh-CN"/>
        </w:rPr>
        <w:t>3.5</w:t>
      </w:r>
      <w:r>
        <w:rPr>
          <w:rFonts w:ascii="宋体" w:eastAsia="宋体" w:hAnsi="宋体" w:cs="宋体" w:hint="eastAsia"/>
          <w:b/>
          <w:bCs/>
          <w:color w:val="000000"/>
          <w:sz w:val="21"/>
          <w:szCs w:val="21"/>
        </w:rPr>
        <w:t>建立多元主体的协同联动工作格局</w:t>
      </w:r>
    </w:p>
    <w:p w14:paraId="0D0441A8">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农机维护保养的长效落实不是监理部门的单向任务，是农机产销、使用、基层治理全过程的系统工程，需要多方主体共同参与才能形成合力，补齐基层监理服务的空白</w:t>
      </w:r>
      <w:r>
        <w:rPr>
          <w:rFonts w:ascii="宋体" w:eastAsia="宋体" w:hAnsi="宋体" w:cs="宋体" w:hint="eastAsia"/>
          <w:b w:val="0"/>
          <w:bCs w:val="0"/>
          <w:color w:val="000000"/>
          <w:kern w:val="0"/>
          <w:sz w:val="21"/>
          <w:szCs w:val="21"/>
          <w:vertAlign w:val="superscript"/>
          <w:lang w:val="en-US" w:eastAsia="zh-CN" w:bidi="ar"/>
        </w:rPr>
        <w:t>[6]</w:t>
      </w:r>
      <w:r>
        <w:rPr>
          <w:rFonts w:ascii="宋体" w:eastAsia="宋体" w:hAnsi="宋体" w:cs="宋体" w:hint="eastAsia"/>
          <w:b w:val="0"/>
          <w:bCs w:val="0"/>
          <w:sz w:val="21"/>
          <w:szCs w:val="21"/>
        </w:rPr>
        <w:t>。农机产销主体层面，基层监理部门可以同辖区内农机经销商、品牌售后服务网点建立起常态化的对接机制，在农机销售环节同步植入维保宣导的要求，明确销售方需要向购机农户讲解保养周期和基本操作要点，并发放标准化的维保手册，定期收集农户的集中维保需求反馈给售后网点，协调技术人员上门维保服务，打通销售、售后、监管的完整衔接链路。农机经营主体层面，引导辖区内农机合作社发挥规模示范作用，支持其建立内部标准化维保制度、配备专职维保人员和配套工具，监理部门对合作社进行定向技术培训，帮助合作社完善维保操作流程，鼓励合作社向周边散户开放维保服务，盘活现有的技术与场地资源，扩大专业维保服务的覆盖半径。</w:t>
      </w:r>
    </w:p>
    <w:p w14:paraId="0155A396">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p>
    <w:p w14:paraId="496B3B9E">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FA240B"/>
    <w:rsid w:val="35FA24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2026-07-24T05:44:00Z</dcterms:created>
  <dcterms:modified xsi:type="dcterms:W3CDTF">2026-07-24T05:45:08Z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29E3A88160474ED6B00FCCE906C6EE9A_11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