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52FC58D">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FF"/>
          <w:sz w:val="21"/>
          <w:szCs w:val="21"/>
        </w:rPr>
      </w:pPr>
      <w:bookmarkStart w:id="0" w:name="_GoBack"/>
      <w:bookmarkEnd w:id="0"/>
      <w:r>
        <w:rPr>
          <w:rFonts w:ascii="宋体" w:eastAsia="宋体" w:hAnsi="宋体" w:cs="宋体" w:hint="eastAsia"/>
          <w:b w:val="0"/>
          <w:bCs w:val="0"/>
          <w:color w:val="0000FF"/>
          <w:sz w:val="21"/>
          <w:szCs w:val="21"/>
        </w:rPr>
        <w:t>（二）打通全流程执行链条，提升经营周转效率</w:t>
      </w:r>
    </w:p>
    <w:p w14:paraId="41E662F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完整的、顺畅的执行链路是工商管理措施落实的载体，链路衔接是否紧密，会直接影响到企业经营流转的速度和最终效益。</w:t>
      </w:r>
    </w:p>
    <w:p w14:paraId="3AE312E6">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明确岗位权责及决策传递的标准，根据企业现有的人员配置对各个岗位的职责和协作边界进行梳理，制定出一份简单的岗位权责清单并张贴在办公区，同时制定出决策传递的统一规范，所有的经营决策都要以文字的形式通过企业内部群同步到对应的岗位上，明确执行的要求、完成的时间和验收的标准，防止由于口头传达而造成的误差，决策发布之后一个工作日内，执行岗位人员需要反馈确认是否收到。</w:t>
      </w:r>
    </w:p>
    <w:p w14:paraId="598754F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创建常态化的跨岗位沟通衔接机制，设置每天15分钟的班前短会和每周一次的工作衔接会，班前会由各个岗位简要汇报当日的工作进度及需要协作的事项，周衔接会整理出生产、采购、销售、财务等各个环节的衔接节点，对衔接断层问题当场确定对接人和解决时限，同时创建线上共享文档实时更新各个环节的工作进度，所有岗位可以随时查看有关环节的进展情况，减少由于信息不对称造成的衔接延误。</w:t>
      </w:r>
    </w:p>
    <w:p w14:paraId="33F49C8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kern w:val="0"/>
          <w:sz w:val="21"/>
          <w:szCs w:val="21"/>
          <w:lang w:val="en-US" w:eastAsia="zh-CN" w:bidi="ar"/>
        </w:rPr>
        <w:t>完善执行能力提升与效果激励方案，每月就目前推行的管理举措、基础业务技能开展一次2小时以内的轻量化培训，培训内容以岗位实际需求为依据，不进行泛化的理论讲解，把执行完成率、衔接差错率作为员工月度考核指标，考核结果同绩效奖金直接挂钩，连续三个月执行达标率靠前的员工获得额外的岗位补贴，提高员工的执行主动性。</w:t>
      </w:r>
    </w:p>
    <w:p w14:paraId="64466B81">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（三）深度嵌入数字技术，构建数字化运营体系</w:t>
      </w:r>
    </w:p>
    <w:p w14:paraId="10EBA285">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数字技术同工商管理的轻量化融合，契合小微企业资源禀赋和运营特点，属于数字经济大背景之下，企业改善管理效能的一种可行途径</w:t>
      </w:r>
      <w:r>
        <w:rPr>
          <w:rFonts w:ascii="宋体" w:eastAsia="宋体" w:hAnsi="宋体" w:cs="宋体" w:hint="eastAsia"/>
          <w:b w:val="0"/>
          <w:bCs w:val="0"/>
          <w:color w:val="0000FF"/>
          <w:kern w:val="0"/>
          <w:sz w:val="21"/>
          <w:szCs w:val="21"/>
          <w:vertAlign w:val="superscript"/>
          <w:lang w:val="en-US" w:eastAsia="zh-CN" w:bidi="ar"/>
        </w:rPr>
        <w:t>[5]</w:t>
      </w:r>
      <w:r>
        <w:rPr>
          <w:rFonts w:ascii="宋体" w:eastAsia="宋体" w:hAnsi="宋体" w:cs="宋体" w:hint="eastAsia"/>
          <w:b w:val="0"/>
          <w:bCs w:val="0"/>
          <w:color w:val="0000FF"/>
          <w:kern w:val="0"/>
          <w:sz w:val="21"/>
          <w:szCs w:val="21"/>
          <w:lang w:val="en-US" w:eastAsia="zh-CN" w:bidi="ar"/>
        </w:rPr>
        <w:t>。</w:t>
      </w:r>
    </w:p>
    <w:p w14:paraId="0FB8B2E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一方面要分阶段地引进轻量化的数字管理工具，首先从财务和客户管理这两个高频环节入手，第一月使用免费的线上财务记账工具完成日常收支、发票的数字化登记，第二月上线免费的客户信息登记小程序，将客户的基本信息、消费记录和跟进情况全部整合到一起，第三月搭建简易的线上库存台账，使采购、销售、库存以及财务端的数据能够相互联系起来，从而达到基础的业财融合目的，每引入一个工具都要进行一次1小时的操作培训，保证所有的相关岗位人员都能够熟练地使用。</w:t>
      </w:r>
    </w:p>
    <w:p w14:paraId="174746C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另一方面搭建简易的经营数据汇总看板，利用免费的在线表格工具把财务、销售、库存等各方面的数据进行汇总，设置自动更新的公式生成核心经营指标，经营者可以随时查看当天的营收、库存周转、客户新增等数据，每周自动生成简易的经营数据周报，直观反映各个部门的运行状况，给决策提供基本的数据支持，不需要额外投入系统开发成本</w:t>
      </w:r>
      <w:r>
        <w:rPr>
          <w:rFonts w:ascii="宋体" w:eastAsia="宋体" w:hAnsi="宋体" w:cs="宋体" w:hint="eastAsia"/>
          <w:b w:val="0"/>
          <w:bCs w:val="0"/>
          <w:color w:val="0000FF"/>
          <w:kern w:val="0"/>
          <w:sz w:val="21"/>
          <w:szCs w:val="21"/>
          <w:vertAlign w:val="superscript"/>
          <w:lang w:val="en-US" w:eastAsia="zh-CN" w:bidi="ar"/>
        </w:rPr>
        <w:t>[6]</w:t>
      </w:r>
      <w:r>
        <w:rPr>
          <w:rFonts w:ascii="宋体" w:eastAsia="宋体" w:hAnsi="宋体" w:cs="宋体" w:hint="eastAsia"/>
          <w:b w:val="0"/>
          <w:bCs w:val="0"/>
          <w:color w:val="0000FF"/>
          <w:kern w:val="0"/>
          <w:sz w:val="21"/>
          <w:szCs w:val="21"/>
          <w:lang w:val="en-US" w:eastAsia="zh-CN" w:bidi="ar"/>
        </w:rPr>
        <w:t>。</w:t>
      </w:r>
    </w:p>
    <w:p w14:paraId="26F2044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另外可以创建内外结合的数字化能力支撑模式，每月开展一次内部数字化操作交流活动，由掌握工具比较熟练的员工向其他员工传授使用方法，提高全体人员的基础操作水平，同本地小微企业数字化服务机构建立长期合作关系，根据需要按次付费解决工具使用、数据整理等专业问题，不需全职招聘数字化人才，在控制成本的基础上保证数字工具正常运转和功能发挥。</w:t>
      </w:r>
    </w:p>
    <w:p w14:paraId="213B8BB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（四）引入PDCA循环方法，健全市场反馈决策体系</w:t>
      </w:r>
    </w:p>
    <w:p w14:paraId="0045BCB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PDCA循环属于工商管理领域里的经典闭环持续改进手段，它的分层递进、阶梯迭代的运行逻辑契合小微企业资源匮乏的特点，可以系统性地弥补当下市场反馈链路里调研散漫、信息转化欠缺、响应迟缓等缺陷，给经营决策的科学性赋予全流程机制支撑。</w:t>
      </w:r>
    </w:p>
    <w:p w14:paraId="333035B6">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计划阶段（Plan）是由销售、运营岗位组成的一支兼职调研队伍，对月度市场反馈方案进行制定，确定调研样本的数量、信息获取的方式和时间，涵盖本地消费需求、竞品动向以及区域行业趋向这三种主要方面，按照企业的经营节奏来设定清楚的信息收集节点。</w:t>
      </w:r>
    </w:p>
    <w:p w14:paraId="7A7DF9F2">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执行阶段（Do）按照方案开展多渠道信息采集工作，线下选择不同的消费频率的存量客户进行面对面访谈，线上依靠企业社交账号搜集消费者的建议，同时联系本地行业协会取得公开的行业数据，保证反馈信息的覆盖面和真实性。</w:t>
      </w:r>
    </w:p>
    <w:p w14:paraId="53C52BC2">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检查阶段（Check）是由企业核心经营者和业务骨干组成的简易分析小组，对归集的各种信息进行分类整理和深入分析，对照当期经营目标核验市场需求与产品服务的匹配度，提炼出主要诉求和潜在风险，得到可以直接使用的决策依据。</w:t>
      </w:r>
    </w:p>
    <w:p w14:paraId="2ED2E22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FF"/>
          <w:kern w:val="0"/>
          <w:sz w:val="21"/>
          <w:szCs w:val="21"/>
          <w:lang w:val="en-US" w:eastAsia="zh-CN" w:bidi="ar"/>
        </w:rPr>
      </w:pPr>
      <w:r>
        <w:rPr>
          <w:rFonts w:ascii="宋体" w:eastAsia="宋体" w:hAnsi="宋体" w:cs="宋体" w:hint="eastAsia"/>
          <w:b w:val="0"/>
          <w:bCs w:val="0"/>
          <w:color w:val="0000FF"/>
          <w:kern w:val="0"/>
          <w:sz w:val="21"/>
          <w:szCs w:val="21"/>
          <w:lang w:val="en-US" w:eastAsia="zh-CN" w:bidi="ar"/>
        </w:rPr>
        <w:t>处理阶段（Act）就是对验证有效的优化方向快速落地到产品调整、营销优化等环节，把成熟的反馈响应标准纳入到日常管理规范中，对暂时不能解决的市场适配问题整理后转入下一轮循环，形成一个持续优化的完整闭环，逐步提高经营决策和市场需求的匹配度。</w:t>
      </w:r>
    </w:p>
    <w:p w14:paraId="28E97033">
      <w:pPr>
        <w:rPr>
          <w:rFonts w:hint="default"/>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570993"/>
    <w:rsid w:val="2B5709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paragraph" w:styleId="Heading4">
    <w:name w:val="heading 4"/>
    <w:basedOn w:val="Normal"/>
    <w:next w:val="Normal"/>
    <w:semiHidden/>
    <w:unhideWhenUsed/>
    <w:qFormat/>
    <w:pPr>
      <w:spacing w:before="0" w:beforeAutospacing="1" w:after="0" w:afterAutospacing="1"/>
      <w:jc w:val="left"/>
      <w:outlineLvl w:val="3"/>
    </w:pPr>
    <w:rPr>
      <w:rFonts w:ascii="宋体" w:eastAsia="宋体" w:hAnsi="宋体" w:cs="宋体" w:hint="eastAsia"/>
      <w:b/>
      <w:bCs/>
      <w:kern w:val="0"/>
      <w:sz w:val="24"/>
      <w:szCs w:val="24"/>
      <w:lang w:val="en-US" w:eastAsia="zh-CN" w:bidi="ar"/>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2026-07-24T07:35:00Z</dcterms:created>
  <dcterms:modified xsi:type="dcterms:W3CDTF">2026-07-25T02:45:53Z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027666631C6D4C87849D783C40AD378C_11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