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75F28D31">
      <w:pPr>
        <w:rPr>
          <w:rFonts w:hint="eastAsia"/>
        </w:rPr>
      </w:pPr>
      <w:bookmarkStart w:id="0" w:name="_GoBack"/>
      <w:r>
        <w:rPr>
          <w:rFonts w:hint="eastAsia"/>
        </w:rPr>
        <w:t>从“品文悟道”到“铸魂润心”：AI赋能初中语文智慧课堂教学评一体化实践研究</w:t>
      </w:r>
    </w:p>
    <w:p w14:paraId="48CD8D6D"/>
    <w:p w14:paraId="7912A794">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摘要</w:t>
      </w:r>
      <w:r>
        <w:rPr>
          <w:rFonts w:hint="eastAsia"/>
          <w:color w:val="000000"/>
          <w:sz w:val="24"/>
          <w:szCs w:val="24"/>
          <w:bdr w:val="none" w:sz="0" w:space="0" w:color="auto"/>
          <w:lang w:eastAsia="zh-CN"/>
        </w:rPr>
        <w:t>：</w:t>
      </w:r>
      <w:r>
        <w:rPr>
          <w:rFonts w:ascii="宋体" w:eastAsia="宋体" w:hAnsi="宋体" w:cs="宋体"/>
          <w:color w:val="000000"/>
          <w:kern w:val="0"/>
          <w:sz w:val="24"/>
          <w:szCs w:val="24"/>
          <w:bdr w:val="none" w:sz="0" w:space="0" w:color="auto"/>
          <w:lang w:val="en-US" w:eastAsia="zh-CN" w:bidi="ar"/>
        </w:rPr>
        <w:t>在教育数字化转型的过程中，初中语文教学正在由知识传授向素养培养转变，教学评一体化是实现核心素养的重要途径，在传统的教学模式下常常会遇到环节脱节、学情不清、评价单一等现实问题。本文以初中语文智慧课堂为研究对象，从课前、课中、课后三个方面分析AI技术与语文教学评各个环节的融合逻辑，提出实践路径并提出实践过程中需要关注的问题。研究目的在于探寻技术同语文学科深度交融的可行途径，促使语文课堂由“品文悟道”转向“铸魂润心”，给初中语文智慧教学的开展赋予实践参照。</w:t>
      </w:r>
    </w:p>
    <w:p w14:paraId="078999B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Style w:val="Strong"/>
          <w:rFonts w:ascii="宋体" w:eastAsia="宋体" w:hAnsi="宋体" w:cs="宋体"/>
          <w:color w:val="000000"/>
          <w:kern w:val="0"/>
          <w:sz w:val="24"/>
          <w:szCs w:val="24"/>
          <w:bdr w:val="none" w:sz="0" w:space="0" w:color="auto"/>
          <w:lang w:val="en-US" w:eastAsia="zh-CN" w:bidi="ar"/>
        </w:rPr>
        <w:t>关键词</w:t>
      </w:r>
      <w:r>
        <w:rPr>
          <w:rFonts w:ascii="宋体" w:eastAsia="宋体" w:hAnsi="宋体" w:cs="宋体"/>
          <w:color w:val="000000"/>
          <w:kern w:val="0"/>
          <w:sz w:val="24"/>
          <w:szCs w:val="24"/>
          <w:bdr w:val="none" w:sz="0" w:space="0" w:color="auto"/>
          <w:lang w:val="en-US" w:eastAsia="zh-CN" w:bidi="ar"/>
        </w:rPr>
        <w:t>：AI赋能；初中语文；智慧课堂；教学评一体化；语文核心素养</w:t>
      </w:r>
    </w:p>
    <w:p w14:paraId="48D0B90D">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bdr w:val="none" w:sz="0" w:space="0" w:color="auto"/>
        </w:rPr>
      </w:pPr>
    </w:p>
    <w:p w14:paraId="61F5EF13">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引言</w:t>
      </w:r>
      <w:r>
        <w:rPr>
          <w:rFonts w:hint="eastAsia"/>
          <w:color w:val="000000"/>
          <w:sz w:val="24"/>
          <w:szCs w:val="24"/>
          <w:bdr w:val="none" w:sz="0" w:space="0" w:color="auto"/>
          <w:lang w:eastAsia="zh-CN"/>
        </w:rPr>
        <w:t>：</w:t>
      </w:r>
      <w:r>
        <w:rPr>
          <w:rFonts w:ascii="宋体" w:eastAsia="宋体" w:hAnsi="宋体" w:cs="宋体"/>
          <w:color w:val="000000"/>
          <w:kern w:val="0"/>
          <w:sz w:val="24"/>
          <w:szCs w:val="24"/>
          <w:bdr w:val="none" w:sz="0" w:space="0" w:color="auto"/>
          <w:lang w:val="en-US" w:eastAsia="zh-CN" w:bidi="ar"/>
        </w:rPr>
        <w:t>《义务教育语文课程标准（2022年版）》明确提出教学评一体化的实施要求，重视发挥评价的诊断、激励和改善作用，促进学生语文核心素养全面发展。目前初中语文教学中教学评环节分离、学情诊断依靠经验、评价重结果等问题仍然存在，不能满足素养导向的育人要求。本文以品文悟道到铸魂润心的育人逻辑为主线，探究AI赋能初中语文智慧课堂教学评一体化的实践路径，结合具体课例构建出可以操作的实施框架，为初中语文智慧教学的实践开展提供借鉴。</w:t>
      </w:r>
    </w:p>
    <w:p w14:paraId="6A932916">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一、AI赋能初中语文智慧课堂教学评一体化的实践价值</w:t>
      </w:r>
    </w:p>
    <w:p w14:paraId="2454EC55">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（一）提升学情诊断精度，促进教学决策实证化</w:t>
      </w:r>
    </w:p>
    <w:p w14:paraId="1760AD84">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t>传统的语文教学中，学情的判断大多依靠教师的日常观察以及作业反馈，不能全面地覆盖到每一个学生，教学目标的设定以及评价标准的设计容易出现偏差，教学评三者之间缺少数据支撑。AI技术凭借多种学习数据的采集与剖析，可以塑造出学生认知特征的图谱，把模糊的学习状况转变为可以量化的、可追踪的具体特性，使教学目标设定、活动安排和评价实施之间产生内在的呼应。</w:t>
      </w:r>
    </w:p>
    <w:p w14:paraId="1E118EBA">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（二）拓展素养培育维度，实现文道融合育人化</w:t>
      </w:r>
    </w:p>
    <w:p w14:paraId="7EE1691D">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传统的语文教学把文本解读和价值浸润割裂开来，评价大多只关注文言知识和文本内容的掌握，而忽略了文化传承和价值引领的育人目标。AI赋能的智慧课堂把语言建构、思维发展、文化传承融合到教学评的全过程当中，经由情境创设、多元互动、过程性评价，使学生在文本研读里体会文化内涵，在任务执行里达成价值内化。该种融合式育人模式可以促使语文教学回归到“文以载道”的本质上来，使文本品读和精神成长互相促进，实现语文课程的育人功能。</w:t>
      </w:r>
    </w:p>
    <w:p w14:paraId="1C532D8D">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pPr>
      <w:r>
        <w:rPr>
          <w:color w:val="000000"/>
          <w:sz w:val="24"/>
          <w:szCs w:val="24"/>
          <w:bdr w:val="none" w:sz="0" w:space="0" w:color="auto"/>
        </w:rPr>
        <w:t>二、AI赋能初中语文智慧课堂教学评一体化的实践路径</w:t>
      </w:r>
    </w:p>
    <w:p w14:paraId="234B74DD">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（一）课前：智诊学情起点，锚定一体化目标</w:t>
      </w:r>
    </w:p>
    <w:p w14:paraId="1D6E94B1">
      <w:pPr>
        <w:pStyle w:val="Heading4"/>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1.采集多维度数据，绘制精准学情画像</w:t>
      </w:r>
    </w:p>
    <w:p w14:paraId="6E1A07FD">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教学活动的有效开展是以对学习者起始状态有准确把握为前提的，学情画像的形成是教学评一体化目标确定的前提依据，教师</w:t>
      </w:r>
      <w:r>
        <w:rPr>
          <w:rFonts w:ascii="宋体" w:eastAsia="宋体" w:hAnsi="宋体" w:cs="宋体" w:hint="eastAsia"/>
          <w:color w:val="000000"/>
          <w:kern w:val="0"/>
          <w:sz w:val="24"/>
          <w:szCs w:val="24"/>
          <w:bdr w:val="none" w:sz="0" w:space="0" w:color="auto"/>
          <w:lang w:val="en-US" w:eastAsia="zh-CN" w:bidi="ar"/>
        </w:rPr>
        <w:t>可</w:t>
      </w:r>
      <w:r>
        <w:rPr>
          <w:rFonts w:ascii="宋体" w:eastAsia="宋体" w:hAnsi="宋体" w:cs="宋体"/>
          <w:color w:val="000000"/>
          <w:kern w:val="0"/>
          <w:sz w:val="24"/>
          <w:szCs w:val="24"/>
          <w:bdr w:val="none" w:sz="0" w:space="0" w:color="auto"/>
          <w:lang w:val="en-US" w:eastAsia="zh-CN" w:bidi="ar"/>
        </w:rPr>
        <w:t>以利用AI工具对预习答题、文本批注、朗读音频等各方面的学习数据进行整合，从文言基础、文本理解、情感感知等角度展开分层分析，把模糊的学习状态转化为可以量化的学情特征，给教学目标的分层设定、评价标准的梯度设计赋予参照，保证教学评三者在起点层面达成内在契合。</w:t>
      </w:r>
    </w:p>
    <w:p w14:paraId="11F7C683">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以统编版九年级上册《岳阳楼记》课前预习为例，教师可以利用智慧教育平台发布预习任务，包含字音标注、实词释义、课文朗读和初读感悟四个方面的内容，学生提交之后，AI系统会自动识别作答情况，对“属予作文以记之”中“属”的通假用法、“薄暮冥冥”中“薄”的词义等文言知识点的掌握率进行统计，并且对学生朗读中字音的准确性、情感的投入度进行评分，结合初读感悟文本分析学生对文章主旨的感知程度。根据预习数据所得到的班级整体知识薄弱点可以清楚地看出表1所示。教师根据这些数据可以把教学目标分成基础层、提升层和拓展层三个层次，使教学目标同学生起点、评价标准相匹配，防止教学内容脱离学生实际。</w:t>
      </w:r>
    </w:p>
    <w:p w14:paraId="0C3E315E">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t>表1《岳阳楼记》课前文言实词预习掌握情况统计</w:t>
      </w:r>
    </w:p>
    <w:tbl>
      <w:tblPr>
        <w:tblStyle w:val="TableGrid"/>
        <w:tblW w:w="728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251"/>
        <w:gridCol w:w="812"/>
        <w:gridCol w:w="3220"/>
      </w:tblGrid>
      <w:tr w14:paraId="3C8EF03E">
        <w:tblPrEx>
          <w:tblW w:w="728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251" w:type="dxa"/>
            <w:shd w:val="clear" w:color="auto" w:fill="auto"/>
            <w:vAlign w:val="center"/>
          </w:tcPr>
          <w:p w14:paraId="4C700B55">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文言知识点</w:t>
            </w:r>
          </w:p>
        </w:tc>
        <w:tc>
          <w:tcPr>
            <w:tcW w:w="812" w:type="dxa"/>
            <w:shd w:val="clear" w:color="auto" w:fill="auto"/>
            <w:vAlign w:val="center"/>
          </w:tcPr>
          <w:p w14:paraId="1730BFD8">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掌握层级</w:t>
            </w:r>
          </w:p>
        </w:tc>
        <w:tc>
          <w:tcPr>
            <w:tcW w:w="3220" w:type="dxa"/>
            <w:shd w:val="clear" w:color="auto" w:fill="auto"/>
            <w:vAlign w:val="center"/>
          </w:tcPr>
          <w:p w14:paraId="3F463152">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教学侧重方向</w:t>
            </w:r>
          </w:p>
        </w:tc>
      </w:tr>
      <w:tr w14:paraId="580588D0">
        <w:tblPrEx>
          <w:tblW w:w="7283" w:type="dxa"/>
          <w:tblInd w:w="0" w:type="dxa"/>
          <w:tblCellMar>
            <w:left w:w="108" w:type="dxa"/>
            <w:right w:w="108" w:type="dxa"/>
          </w:tblCellMar>
        </w:tblPrEx>
        <w:tc>
          <w:tcPr>
            <w:tcW w:w="3251" w:type="dxa"/>
            <w:shd w:val="clear" w:color="auto" w:fill="auto"/>
            <w:vAlign w:val="center"/>
          </w:tcPr>
          <w:p w14:paraId="3B595376">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属（zhǔ）予作文以记之（通假字）</w:t>
            </w:r>
          </w:p>
        </w:tc>
        <w:tc>
          <w:tcPr>
            <w:tcW w:w="812" w:type="dxa"/>
            <w:shd w:val="clear" w:color="auto" w:fill="auto"/>
            <w:vAlign w:val="center"/>
          </w:tcPr>
          <w:p w14:paraId="3484F64F">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薄弱</w:t>
            </w:r>
          </w:p>
        </w:tc>
        <w:tc>
          <w:tcPr>
            <w:tcW w:w="3220" w:type="dxa"/>
            <w:shd w:val="clear" w:color="auto" w:fill="auto"/>
            <w:vAlign w:val="center"/>
          </w:tcPr>
          <w:p w14:paraId="5418FBDD">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课堂重点讲解通假义，搭配迁移练习</w:t>
            </w:r>
          </w:p>
        </w:tc>
      </w:tr>
      <w:tr w14:paraId="1AF6D3FA">
        <w:tblPrEx>
          <w:tblW w:w="7283" w:type="dxa"/>
          <w:tblInd w:w="0" w:type="dxa"/>
          <w:tblCellMar>
            <w:left w:w="108" w:type="dxa"/>
            <w:right w:w="108" w:type="dxa"/>
          </w:tblCellMar>
        </w:tblPrEx>
        <w:tc>
          <w:tcPr>
            <w:tcW w:w="3251" w:type="dxa"/>
            <w:shd w:val="clear" w:color="auto" w:fill="auto"/>
            <w:vAlign w:val="center"/>
          </w:tcPr>
          <w:p w14:paraId="5DD6A2BF">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薄暮冥冥（实词“薄”，义为迫近）</w:t>
            </w:r>
          </w:p>
        </w:tc>
        <w:tc>
          <w:tcPr>
            <w:tcW w:w="812" w:type="dxa"/>
            <w:shd w:val="clear" w:color="auto" w:fill="auto"/>
            <w:vAlign w:val="center"/>
          </w:tcPr>
          <w:p w14:paraId="729FF484">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一般</w:t>
            </w:r>
          </w:p>
        </w:tc>
        <w:tc>
          <w:tcPr>
            <w:tcW w:w="3220" w:type="dxa"/>
            <w:shd w:val="clear" w:color="auto" w:fill="auto"/>
            <w:vAlign w:val="center"/>
          </w:tcPr>
          <w:p w14:paraId="1B41EDA1">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结合语境辨析词义，补充一词多义梳理</w:t>
            </w:r>
          </w:p>
        </w:tc>
      </w:tr>
      <w:tr w14:paraId="2A179935">
        <w:tblPrEx>
          <w:tblW w:w="7283" w:type="dxa"/>
          <w:tblInd w:w="0" w:type="dxa"/>
          <w:tblCellMar>
            <w:left w:w="108" w:type="dxa"/>
            <w:right w:w="108" w:type="dxa"/>
          </w:tblCellMar>
        </w:tblPrEx>
        <w:tc>
          <w:tcPr>
            <w:tcW w:w="3251" w:type="dxa"/>
            <w:shd w:val="clear" w:color="auto" w:fill="auto"/>
            <w:vAlign w:val="center"/>
          </w:tcPr>
          <w:p w14:paraId="3CC1ED3F">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春和景明（实词“景”，义为日光）</w:t>
            </w:r>
          </w:p>
        </w:tc>
        <w:tc>
          <w:tcPr>
            <w:tcW w:w="812" w:type="dxa"/>
            <w:shd w:val="clear" w:color="auto" w:fill="auto"/>
            <w:vAlign w:val="center"/>
          </w:tcPr>
          <w:p w14:paraId="18BF1385">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一般</w:t>
            </w:r>
          </w:p>
        </w:tc>
        <w:tc>
          <w:tcPr>
            <w:tcW w:w="3220" w:type="dxa"/>
            <w:shd w:val="clear" w:color="auto" w:fill="auto"/>
            <w:vAlign w:val="center"/>
          </w:tcPr>
          <w:p w14:paraId="7E23E208">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联系旧知巩固，强化语境识记</w:t>
            </w:r>
          </w:p>
        </w:tc>
      </w:tr>
      <w:tr w14:paraId="380B8465">
        <w:tblPrEx>
          <w:tblW w:w="7283" w:type="dxa"/>
          <w:tblInd w:w="0" w:type="dxa"/>
          <w:tblCellMar>
            <w:left w:w="108" w:type="dxa"/>
            <w:right w:w="108" w:type="dxa"/>
          </w:tblCellMar>
        </w:tblPrEx>
        <w:tc>
          <w:tcPr>
            <w:tcW w:w="3251" w:type="dxa"/>
            <w:shd w:val="clear" w:color="auto" w:fill="auto"/>
            <w:vAlign w:val="center"/>
          </w:tcPr>
          <w:p w14:paraId="3489CA64">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不以物喜（虚词“以”，义为因为）</w:t>
            </w:r>
          </w:p>
        </w:tc>
        <w:tc>
          <w:tcPr>
            <w:tcW w:w="812" w:type="dxa"/>
            <w:shd w:val="clear" w:color="auto" w:fill="auto"/>
            <w:vAlign w:val="center"/>
          </w:tcPr>
          <w:p w14:paraId="47BA823F">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较好</w:t>
            </w:r>
          </w:p>
        </w:tc>
        <w:tc>
          <w:tcPr>
            <w:tcW w:w="3220" w:type="dxa"/>
            <w:shd w:val="clear" w:color="auto" w:fill="auto"/>
            <w:vAlign w:val="center"/>
          </w:tcPr>
          <w:p w14:paraId="3EAA3F66">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课上快速回顾，融入句子翻译训练</w:t>
            </w:r>
          </w:p>
        </w:tc>
      </w:tr>
    </w:tbl>
    <w:p w14:paraId="6349E64C">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p>
    <w:p w14:paraId="51B1B318">
      <w:pPr>
        <w:pStyle w:val="Heading4"/>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2.推送分层化资源，搭建前置学习支架</w:t>
      </w:r>
    </w:p>
    <w:p w14:paraId="7842D2E8">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建构主义学习理论认为，学习者所获得的知识是通过建构来实现的，学习者的知识建构要依靠适合自身认知水平的学习支架，前置学习资源的适配性会直接影响到预习的效果以及课堂起点是否一致。教师可以利用AI智能推荐功能，根据学生的学情画像给不同的学生提供不同的预习资源，资源内容包含文言基础类的字词讲解、背景介绍以及文本解读类的问题引导、拓展资料等，使学生在前置学习阶段得到适合的学习支持，为课堂教学评的一体化实施奠定基础。</w:t>
      </w:r>
    </w:p>
    <w:p w14:paraId="5B616605">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t>就《岳阳楼记》而言，根据学情分层结果推送相应资源，基础层学生可以得到文言字词精讲微视频、作者范仲淹生平简介音频、带有重点字词注释的课文电子文本，帮助学生理解课文大意；提升层学生可以得到“岳阳楼不同景致对应的情感变化”问题引导单、宋代岳阳楼文化背景资料，初步梳理文章脉络；拓展层学生可以得到范仲淹《渔家傲・秋思》对比阅读材料、北宋士大夫精神相关拓展文章，加深对作者思想的认识。为了使学生理清预习逻辑，AI系统会自动生成分层预习支架思维导图，图1为分层预习支架思维导图。学生在完成对应资源学习之后，同步完成配套预习检测，检测数据实时回传到教师端，教师可以根据检测数据来调整课堂教学的详略安排，使课前预习和课堂教学、预习评价和课堂评价形成一个整体。</w:t>
      </w:r>
    </w:p>
    <w:p w14:paraId="1C662034">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drawing>
          <wp:inline distT="0" distB="0" distL="114300" distR="114300">
            <wp:extent cx="5255895" cy="2239010"/>
            <wp:effectExtent l="0" t="0" r="1905" b="8890"/>
            <wp:docPr id="1" name="E657119C-6982-421D-8BA7-E74DEB70A7D9-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657119C-6982-421D-8BA7-E74DEB70A7D9-1" descr="wps"/>
                    <pic:cNvPicPr>
                      <a:picLocks noChangeAspect="1"/>
                    </pic:cNvPicPr>
                  </pic:nvPicPr>
                  <pic:blipFill>
                    <a:blip xmlns:r="http://schemas.openxmlformats.org/officeDocument/2006/relationships" r:embed="rId5"/>
                    <a:stretch>
                      <a:fillRect/>
                    </a:stretch>
                  </pic:blipFill>
                  <pic:spPr>
                    <a:xfrm>
                      <a:off x="0" y="0"/>
                      <a:ext cx="5255895" cy="2239010"/>
                    </a:xfrm>
                    <a:prstGeom prst="rect">
                      <a:avLst/>
                    </a:prstGeom>
                  </pic:spPr>
                </pic:pic>
              </a:graphicData>
            </a:graphic>
          </wp:inline>
        </w:drawing>
      </w:r>
    </w:p>
    <w:p w14:paraId="0F509F1B">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图1《岳阳楼记》分层预习支架思维导图</w:t>
      </w:r>
    </w:p>
    <w:p w14:paraId="361C2D10">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（二）课中：智启品文悟道，深化互动式生成</w:t>
      </w:r>
    </w:p>
    <w:p w14:paraId="16E6A5BE">
      <w:pPr>
        <w:pStyle w:val="Heading4"/>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1.创设沉浸式情境，深化品文悟道体验</w:t>
      </w:r>
    </w:p>
    <w:p w14:paraId="513B3FA1">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真实的、可感的学习情境可以引起学习者的感情共鸣，使文本的语言和个体的经验融合起来，是品文悟道的载体。教师可以利用AI的生成技术以及视听呈现功能，把文言文中所描述的情境、意境转化为具体的视听内容，冲破时空的束缚，让学生置身于文本的语境当中，在沉浸式的体验里体会语言文字的品味，领悟文本的意境，情境创设的过程也同时包含着评价要素，学生的情境参与表现、感悟表达都可以成为课堂评价的一部分，使得学习的过程和评价的过程同时发生。</w:t>
      </w:r>
    </w:p>
    <w:p w14:paraId="1CDD9C45">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在教学过程中，教师可以使用AI生成式工具来再现“淫雨霏霏”和“春和景明”这两种完全相反的岳阳楼景色，用动态画面以及相应的音效相结合的方式来使学生感受阴雨天的萧条和晴朗天气的开阔。在此基础上，教师让学生圈画出文中描写景物的句子，“阴风怒号，浊浪排空”“浮光跃金，静影沉璧”等等，体会炼字的精妙和写景的层次，然后组织学生分享两种景致下迁客骚人的不同心境，联系自身感受来阐述对“以物喜、以己悲”的理解。为了准确地衡量学生对文本的赏析程度，可以采用课堂表现评价量表进行即时记录，见表2。教师根据评价结果可以及时调整讲解的深浅，对于理解有误的学生进行有目的的引导，使情境体验、文本研读和课堂评价三者有机地融合起来，加深学生对文本“景-情”关系的认识。</w:t>
      </w:r>
    </w:p>
    <w:p w14:paraId="50980C56">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r>
        <w:rPr>
          <w:rFonts w:ascii="宋体" w:eastAsia="宋体" w:hAnsi="宋体" w:cs="宋体"/>
          <w:color w:val="000000"/>
          <w:kern w:val="0"/>
          <w:sz w:val="24"/>
          <w:szCs w:val="24"/>
          <w:bdr w:val="none" w:sz="0" w:space="0" w:color="auto"/>
          <w:lang w:val="en-US" w:eastAsia="zh-CN" w:bidi="ar"/>
        </w:rPr>
        <w:t>表2《岳阳楼记》景物描写赏析课堂评价量表</w:t>
      </w:r>
    </w:p>
    <w:tbl>
      <w:tblPr>
        <w:tblStyle w:val="TableGrid"/>
        <w:tblW w:w="819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9"/>
        <w:gridCol w:w="4830"/>
        <w:gridCol w:w="512"/>
        <w:gridCol w:w="1845"/>
      </w:tblGrid>
      <w:tr w14:paraId="64A1AC45">
        <w:tblPrEx>
          <w:tblW w:w="819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09" w:type="dxa"/>
            <w:shd w:val="clear" w:color="auto" w:fill="auto"/>
            <w:vAlign w:val="center"/>
          </w:tcPr>
          <w:p w14:paraId="3D84CF9A">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评价维度</w:t>
            </w:r>
          </w:p>
        </w:tc>
        <w:tc>
          <w:tcPr>
            <w:tcW w:w="4830" w:type="dxa"/>
            <w:shd w:val="clear" w:color="auto" w:fill="auto"/>
            <w:vAlign w:val="center"/>
          </w:tcPr>
          <w:p w14:paraId="4E477FFF">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评价标准</w:t>
            </w:r>
          </w:p>
        </w:tc>
        <w:tc>
          <w:tcPr>
            <w:tcW w:w="512" w:type="dxa"/>
            <w:shd w:val="clear" w:color="auto" w:fill="auto"/>
            <w:vAlign w:val="center"/>
          </w:tcPr>
          <w:p w14:paraId="292578AC">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分值</w:t>
            </w:r>
          </w:p>
        </w:tc>
        <w:tc>
          <w:tcPr>
            <w:tcW w:w="1845" w:type="dxa"/>
            <w:shd w:val="clear" w:color="auto" w:fill="auto"/>
            <w:vAlign w:val="center"/>
          </w:tcPr>
          <w:p w14:paraId="725A813E">
            <w:pPr>
              <w:keepNext w:val="0"/>
              <w:keepLines w:val="0"/>
              <w:widowControl/>
              <w:suppressLineNumbers w:val="0"/>
              <w:spacing w:before="0" w:beforeAutospacing="0" w:after="0" w:afterAutospacing="0" w:line="360" w:lineRule="atLeast"/>
              <w:ind w:left="0" w:right="0" w:leftChars="0" w:rightChars="0"/>
              <w:jc w:val="center"/>
              <w:rPr>
                <w:rFonts w:asciiTheme="minorHAnsi" w:eastAsiaTheme="minorEastAsia" w:hAnsiTheme="minorHAnsi" w:cstheme="minorBidi"/>
                <w:b/>
                <w:bCs/>
                <w:color w:val="000000"/>
                <w:sz w:val="24"/>
                <w:szCs w:val="24"/>
                <w:lang w:val="en-US" w:eastAsia="zh-CN"/>
              </w:rPr>
            </w:pPr>
            <w:r>
              <w:rPr>
                <w:rFonts w:ascii="宋体" w:eastAsia="宋体" w:hAnsi="宋体" w:cs="宋体"/>
                <w:b/>
                <w:bCs/>
                <w:color w:val="000000"/>
                <w:kern w:val="0"/>
                <w:sz w:val="24"/>
                <w:szCs w:val="24"/>
                <w:lang w:val="en-US" w:eastAsia="zh-CN" w:bidi="ar"/>
              </w:rPr>
              <w:t>评价主体</w:t>
            </w:r>
          </w:p>
        </w:tc>
      </w:tr>
      <w:tr w14:paraId="30BF7782">
        <w:tblPrEx>
          <w:tblW w:w="8196" w:type="dxa"/>
          <w:tblInd w:w="0" w:type="dxa"/>
          <w:tblCellMar>
            <w:left w:w="108" w:type="dxa"/>
            <w:right w:w="108" w:type="dxa"/>
          </w:tblCellMar>
        </w:tblPrEx>
        <w:tc>
          <w:tcPr>
            <w:tcW w:w="1009" w:type="dxa"/>
            <w:shd w:val="clear" w:color="auto" w:fill="auto"/>
            <w:vAlign w:val="center"/>
          </w:tcPr>
          <w:p w14:paraId="30DBAE1F">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词句品鉴</w:t>
            </w:r>
          </w:p>
        </w:tc>
        <w:tc>
          <w:tcPr>
            <w:tcW w:w="4830" w:type="dxa"/>
            <w:shd w:val="clear" w:color="auto" w:fill="auto"/>
            <w:vAlign w:val="center"/>
          </w:tcPr>
          <w:p w14:paraId="360995FF">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准确找出写景语句，清晰分析炼字表达效果</w:t>
            </w:r>
          </w:p>
        </w:tc>
        <w:tc>
          <w:tcPr>
            <w:tcW w:w="512" w:type="dxa"/>
            <w:shd w:val="clear" w:color="auto" w:fill="auto"/>
            <w:vAlign w:val="center"/>
          </w:tcPr>
          <w:p w14:paraId="6B93276A">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40</w:t>
            </w:r>
          </w:p>
        </w:tc>
        <w:tc>
          <w:tcPr>
            <w:tcW w:w="1845" w:type="dxa"/>
            <w:shd w:val="clear" w:color="auto" w:fill="auto"/>
            <w:vAlign w:val="center"/>
          </w:tcPr>
          <w:p w14:paraId="613A25ED">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AI+教师</w:t>
            </w:r>
          </w:p>
        </w:tc>
      </w:tr>
      <w:tr w14:paraId="78716A90">
        <w:tblPrEx>
          <w:tblW w:w="8196" w:type="dxa"/>
          <w:tblInd w:w="0" w:type="dxa"/>
          <w:tblCellMar>
            <w:left w:w="108" w:type="dxa"/>
            <w:right w:w="108" w:type="dxa"/>
          </w:tblCellMar>
        </w:tblPrEx>
        <w:tc>
          <w:tcPr>
            <w:tcW w:w="1009" w:type="dxa"/>
            <w:shd w:val="clear" w:color="auto" w:fill="auto"/>
            <w:vAlign w:val="center"/>
          </w:tcPr>
          <w:p w14:paraId="299CDB9B">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意境体悟</w:t>
            </w:r>
          </w:p>
        </w:tc>
        <w:tc>
          <w:tcPr>
            <w:tcW w:w="4830" w:type="dxa"/>
            <w:shd w:val="clear" w:color="auto" w:fill="auto"/>
            <w:vAlign w:val="center"/>
          </w:tcPr>
          <w:p w14:paraId="5AE4F568">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结合情境表述两种景致的氛围差异与自身感受</w:t>
            </w:r>
          </w:p>
        </w:tc>
        <w:tc>
          <w:tcPr>
            <w:tcW w:w="512" w:type="dxa"/>
            <w:shd w:val="clear" w:color="auto" w:fill="auto"/>
            <w:vAlign w:val="center"/>
          </w:tcPr>
          <w:p w14:paraId="3B7223B6">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30</w:t>
            </w:r>
          </w:p>
        </w:tc>
        <w:tc>
          <w:tcPr>
            <w:tcW w:w="1845" w:type="dxa"/>
            <w:shd w:val="clear" w:color="auto" w:fill="auto"/>
            <w:vAlign w:val="center"/>
          </w:tcPr>
          <w:p w14:paraId="58001073">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学生互评+教师</w:t>
            </w:r>
          </w:p>
        </w:tc>
      </w:tr>
      <w:tr w14:paraId="3935489C">
        <w:tblPrEx>
          <w:tblW w:w="8196" w:type="dxa"/>
          <w:tblInd w:w="0" w:type="dxa"/>
          <w:tblCellMar>
            <w:left w:w="108" w:type="dxa"/>
            <w:right w:w="108" w:type="dxa"/>
          </w:tblCellMar>
        </w:tblPrEx>
        <w:tc>
          <w:tcPr>
            <w:tcW w:w="1009" w:type="dxa"/>
            <w:shd w:val="clear" w:color="auto" w:fill="auto"/>
            <w:vAlign w:val="center"/>
          </w:tcPr>
          <w:p w14:paraId="644B8A04">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情感解读</w:t>
            </w:r>
          </w:p>
        </w:tc>
        <w:tc>
          <w:tcPr>
            <w:tcW w:w="4830" w:type="dxa"/>
            <w:shd w:val="clear" w:color="auto" w:fill="auto"/>
            <w:vAlign w:val="center"/>
          </w:tcPr>
          <w:p w14:paraId="3D70D405">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关联景物特点对应分析迁客骚人的情感变化</w:t>
            </w:r>
          </w:p>
        </w:tc>
        <w:tc>
          <w:tcPr>
            <w:tcW w:w="512" w:type="dxa"/>
            <w:shd w:val="clear" w:color="auto" w:fill="auto"/>
            <w:vAlign w:val="center"/>
          </w:tcPr>
          <w:p w14:paraId="6F079997">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30</w:t>
            </w:r>
          </w:p>
        </w:tc>
        <w:tc>
          <w:tcPr>
            <w:tcW w:w="1845" w:type="dxa"/>
            <w:shd w:val="clear" w:color="auto" w:fill="auto"/>
            <w:vAlign w:val="center"/>
          </w:tcPr>
          <w:p w14:paraId="2180D21D">
            <w:pPr>
              <w:keepNext w:val="0"/>
              <w:keepLines w:val="0"/>
              <w:widowControl/>
              <w:suppressLineNumbers w:val="0"/>
              <w:spacing w:before="0" w:beforeAutospacing="0" w:after="0" w:afterAutospacing="0" w:line="360" w:lineRule="atLeast"/>
              <w:ind w:left="0" w:right="0" w:leftChars="0" w:rightChars="0"/>
              <w:jc w:val="left"/>
              <w:rPr>
                <w:rFonts w:asciiTheme="minorHAnsi" w:eastAsiaTheme="minorEastAsia" w:hAnsiTheme="minorHAnsi" w:cstheme="minorBidi"/>
                <w:color w:val="000000"/>
                <w:sz w:val="24"/>
                <w:szCs w:val="24"/>
                <w:lang w:val="en-US" w:eastAsia="zh-CN"/>
              </w:rPr>
            </w:pPr>
            <w:r>
              <w:rPr>
                <w:rFonts w:ascii="宋体" w:eastAsia="宋体" w:hAnsi="宋体" w:cs="宋体"/>
                <w:color w:val="000000"/>
                <w:kern w:val="0"/>
                <w:sz w:val="24"/>
                <w:szCs w:val="24"/>
                <w:lang w:val="en-US" w:eastAsia="zh-CN" w:bidi="ar"/>
              </w:rPr>
              <w:t>教师+学生自评</w:t>
            </w:r>
          </w:p>
        </w:tc>
      </w:tr>
    </w:tbl>
    <w:p w14:paraId="447F4E1E">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00"/>
          <w:kern w:val="0"/>
          <w:sz w:val="24"/>
          <w:szCs w:val="24"/>
          <w:bdr w:val="none" w:sz="0" w:space="0" w:color="auto"/>
          <w:lang w:val="en-US" w:eastAsia="zh-CN" w:bidi="ar"/>
        </w:rPr>
      </w:pPr>
    </w:p>
    <w:p w14:paraId="5FF32D82">
      <w:pPr>
        <w:pStyle w:val="Heading4"/>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2.开展实时性评价，动态调整教学进程</w:t>
      </w:r>
    </w:p>
    <w:p w14:paraId="745F33FE">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过程性评价理念认为评价要嵌入到教学的全过程之中，在即时性的反馈调整中达到教与学的双方面向改进的目的，这是教学评一体化在课堂实施中最为突出的表现形式。教师利用AI智慧课堂实时数据采集的功能，对学生课堂答题、讨论发言、朗读表现等学习行为进行实时的跟踪，快速得到班级整体和个体的学习状态数据，教学进程根据评价结果灵活调整，针对共性问题补充讲解，针对个体差异提供分层指导，使评价结果直接作用于课堂教学的动态生成。</w:t>
      </w:r>
    </w:p>
    <w:p w14:paraId="25E74F0B">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教师可以利用智慧平台发布课堂探究任务，在教学过程中让学生结合文章内容和作者生平来写一篇100字左右的感悟，阐述对这句话内涵的理解。学生提交之后，AI系统可以对学生的观点是否明确、文本是否结合、语言是否流畅这三个方面做出即时的批阅，从而对全班学生的主旨理解情况进行统计，找出部分学生只是停留在对“心怀天下”这一表层的理解上，没有联系到“古仁人之心”和前面迁客骚人情怀的对比来深入分析。教师根据该次实时评价的结果，马上布置了“迁客骚人之情与古仁人之心的区别”的小组讨论任务，使学生从对比“以物喜以己悲”和“不以物喜不以己悲”入手，进而引申到作者的政治抱负和家国情怀。AI实时抓取各小组发言的主要观点，形成课堂讨论词云，教师以此来把握学生思维发展的方向，适时地进行点拨与引导，使课堂评价直接作用于教学过程的改进，促进学生思维的深入。</w:t>
      </w:r>
    </w:p>
    <w:p w14:paraId="1C500E2C">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（三）课后：智促铸魂润心，闭环成长性评价</w:t>
      </w:r>
    </w:p>
    <w:p w14:paraId="5157D9D8">
      <w:pPr>
        <w:pStyle w:val="Heading4"/>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1.设计个性化作业，夯实素养培育成效</w:t>
      </w:r>
    </w:p>
    <w:p w14:paraId="21F38444">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多元智能理论认为学生认知风格和发展潜能存在着较大的差异，课后作业是课堂学习的延续和拓展部分，要符合不同层次学生学习速度和发展的需要。教师可以依据智能工具所给出的课堂学习数据，设计出有层次的作业任务，既能够使学生对文言知识进行巩固，又可以促进审美能力的提升以及思想内涵的拓展，同时作业评价也跟着任务一起进行，保证教学评链条的连贯性。</w:t>
      </w:r>
    </w:p>
    <w:p w14:paraId="70291123">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以《岳阳楼记》课后作业设计为例，智能系统按照学生的课堂表现数据推送三种任务，基础层完成政通人和、百废具兴、属予作文以记之等重点字词的释义默写，翻译不以物喜，不以己悲等核心对偶句，系统自动批阅后对错处推送同类强化练习。提升层选择浮光跃金、静影沉璧、阴风怒号、浊浪排空等写景语句，从炼字、修辞角度写150字的赏析片段，系统给出内容贴合度、语言流畅度的修改意见。围绕先天下之忧而忧，后天下之乐而乐这一精神内核来搜集范仲淹的相关诗文，并且结合当下的语境写上200字的感悟。作业完成之后，系统会自动输出个体评价结果，教师可以根据这些结果来了解学生素养落地的情况。</w:t>
      </w:r>
    </w:p>
    <w:p w14:paraId="1D606D73">
      <w:pPr>
        <w:pStyle w:val="Heading4"/>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2.生成可视化报告，反哺教学优化迭代</w:t>
      </w:r>
    </w:p>
    <w:p w14:paraId="532B28EB">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教师专业发展理论认为，系统的教学反思是提高课堂教学质量的主要途径，全流程学习数据的整合分析可以给教学复盘提供可靠的实证支持。教师可以利用智能工具的数据整合功能，将课前、课中、课后各个阶段的学习信息汇总起来，得到结构化的学情分析结果，从而对教学设计是否合适进行反观，进而调整后续教学目标和活动的安排，使教学评体系不断得到完善。</w:t>
      </w:r>
    </w:p>
    <w:p w14:paraId="45C866D9">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岳阳楼记》教学结束后，智能系统把全过程的数据整合起来形成班级学情报告和个人成长档案。班级报告显示文言字词平均正确率为78.2%，其中“薄暮冥冥”中表“迫近”义的“薄”、“春和景明”中表“日光”义的“景”失分率较高；主旨理解方面只有61.5%的学生可以完整地阐述出古仁人之心和迁客骚人览物之情的本质区别。个人档案是学生在预习、作业等各方面的全过程表现，把过去的文言学习数据与现在的文言学习数据进行对比，找出学生文言学习的进步幅度以及薄弱项。教师通过整理报告数据可以发现本次教学中主旨探究环节引导不够深入，后续文言文教学可以增加对比探究任务，改善评价维度的设置，使教学评的运行闭环不断得到优化。</w:t>
      </w:r>
    </w:p>
    <w:p w14:paraId="59C52BEF">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三、AI赋能初中语文智慧课堂教学评一体化的注意事项</w:t>
      </w:r>
    </w:p>
    <w:p w14:paraId="2B322E4C">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（一）坚守教师主导地位，规避技术异化风险</w:t>
      </w:r>
    </w:p>
    <w:p w14:paraId="524FD5DA">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语文教学具有语言建构、思维培养和精神引领等多重功能，教师的人文关怀、情感引导、价值点拨是技术无法取代的重要因素。课堂实施过程中，教师要把握技术使用的尺度，不能让课堂流程完全依靠技术预设，防止出现技术牵着教学走的异化现象。教师要依据自身教学经验来对AI产生的学情数据和评价结果加以专业判断，不能把数据结论当作对学生质性观察的全部依据，在文本情感体悟、价值观念引导等环节上，教师要发挥自身专业引领的作用，使技术为育人服务，保证语文课堂的育人底色。</w:t>
      </w:r>
    </w:p>
    <w:p w14:paraId="13391F86">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（二）辩证运用智能工具，守护语文人文内核</w:t>
      </w:r>
    </w:p>
    <w:p w14:paraId="29552D2E">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人工智能在语言分析、数据统计方面有优势，但是不能完全替代语文学习的人文属性，在文本审美解读、情感深度共情等环节上存在不足。教师在教学过程中要理性认识智能工具的作用，不能用标准化的技术解读来限制学生多元化的思考，尤其在文学作品赏析中，要引导学生结合自身体验来形成个性化的感悟，防止出现答案的同质化现象。同时引导学生正确使用AI工具，将其当作辅助学习的支架，而不是直接获取答案的途径，保护学生的独立思考能力和审美创造力，守护语文课程的人文内核。</w:t>
      </w:r>
    </w:p>
    <w:p w14:paraId="56C9EB06">
      <w:pPr>
        <w:pStyle w:val="Heading3"/>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color w:val="000000"/>
          <w:sz w:val="24"/>
          <w:szCs w:val="24"/>
          <w:bdr w:val="none" w:sz="0" w:space="0" w:color="auto"/>
        </w:rPr>
        <w:t>（三）健全资源共享机制，提升智慧教学效能</w:t>
      </w:r>
    </w:p>
    <w:p w14:paraId="5D363B8D">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智慧课堂高质量运行需要优质数字教学资源的保障，单靠教师个人开发资源，既会加重教师的备课负担，又很难保证资源的质量和丰富程度。学校层面可以创建校级语文智慧教学资源平台，把不同教师开发的AI教学课件、分层作业设计、评价量规等资源进行整合，按照文体、年级、主题进行分类整理，方便教师检索调用。组织校内语文教师开展集体教研，共同打磨出AI融合教学的优秀课例，总结出实践中的有效经验和常见问题，形成可以重复使用的教学方案。校际之间也可以建立资源共享联盟，交流各个学校实践成果，拓宽资源来源渠道，在资源共建共享中降低教师备课成本，提高智慧课堂整体教学效果。</w:t>
      </w:r>
    </w:p>
    <w:p w14:paraId="5AC74A47">
      <w:pPr>
        <w:pStyle w:val="Heading2"/>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rPr>
          <w:color w:val="000000"/>
          <w:sz w:val="24"/>
          <w:szCs w:val="24"/>
        </w:rPr>
      </w:pPr>
      <w:r>
        <w:rPr>
          <w:rFonts w:hint="eastAsia"/>
          <w:color w:val="000000"/>
          <w:sz w:val="24"/>
          <w:szCs w:val="24"/>
          <w:bdr w:val="none" w:sz="0" w:space="0" w:color="auto"/>
          <w:lang w:val="en-US" w:eastAsia="zh-CN"/>
        </w:rPr>
        <w:t>四、</w:t>
      </w:r>
      <w:r>
        <w:rPr>
          <w:color w:val="000000"/>
          <w:sz w:val="24"/>
          <w:szCs w:val="24"/>
          <w:bdr w:val="none" w:sz="0" w:space="0" w:color="auto"/>
        </w:rPr>
        <w:t>结语</w:t>
      </w:r>
    </w:p>
    <w:p w14:paraId="0AAD3B78">
      <w:pPr>
        <w:keepNext w:val="0"/>
        <w:keepLines w:val="0"/>
        <w:widowControl/>
        <w:suppressLineNumbers w:val="0"/>
        <w:pBdr>
          <w:top w:val="none" w:sz="0" w:space="0" w:color="auto"/>
          <w:left w:val="none" w:sz="0" w:space="0" w:color="auto"/>
          <w:bottom w:val="none" w:sz="0" w:space="0" w:color="auto"/>
          <w:right w:val="none" w:sz="0" w:space="0" w:color="auto"/>
        </w:pBdr>
        <w:snapToGrid w:val="0"/>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因此，人工智能技术给初中语文教学评一体化的深入实施提供新的技术支撑，可以从学情诊断、课堂互动、课后延伸等各方面改善教学流程，使语文课堂由“文本研读”向“品文悟道”和“铸魂润心”转变。未来教学实践当中，可以继续探究AI技术同不同文体教学的契合途径，完善过程性评价的人文方面，在技术与人文之间营造出更富有活力的语文智慧课堂，使人工智能真正成为语文育人的有效助力，助力学生在语言学习中得到文化的滋养和精神的成长。</w:t>
      </w:r>
    </w:p>
    <w:p w14:paraId="1051346A">
      <w:pPr>
        <w:rPr>
          <w:rFonts w:hint="eastAsia"/>
          <w:lang w:val="en-US" w:eastAsia="zh-CN"/>
        </w:rPr>
      </w:pPr>
      <w:r>
        <w:rPr>
          <w:rFonts w:hint="eastAsia"/>
          <w:lang w:val="en-US" w:eastAsia="zh-CN"/>
        </w:rPr>
        <w:t>参考文献：</w:t>
      </w:r>
    </w:p>
    <w:p w14:paraId="70A75E84">
      <w:pPr>
        <w:rPr>
          <w:rFonts w:hint="eastAsia"/>
          <w:lang w:val="en-US" w:eastAsia="zh-CN"/>
        </w:rPr>
      </w:pPr>
      <w:r>
        <w:rPr>
          <w:rFonts w:hint="eastAsia"/>
          <w:lang w:val="en-US" w:eastAsia="zh-CN"/>
        </w:rPr>
        <w:t>[1]周晓芳.AI赋能初中语文“教—学—评”一体化实践转型[J].语文教学通讯·D刊(学术刊),2026,(5):20-22.</w:t>
      </w:r>
    </w:p>
    <w:p w14:paraId="2680517D">
      <w:pPr>
        <w:rPr>
          <w:rFonts w:hint="eastAsia"/>
          <w:lang w:val="en-US" w:eastAsia="zh-CN"/>
        </w:rPr>
      </w:pPr>
      <w:r>
        <w:rPr>
          <w:rFonts w:hint="eastAsia"/>
          <w:lang w:val="en-US" w:eastAsia="zh-CN"/>
        </w:rPr>
        <w:t>[2]张益清.基于AI智慧课堂的初中语文诗词情境教学初探——以《沁园春?雪》为例[J].生活教育,2025,(35):118-121.</w:t>
      </w:r>
    </w:p>
    <w:p w14:paraId="39B76B51">
      <w:pPr>
        <w:rPr>
          <w:rFonts w:hint="eastAsia"/>
          <w:lang w:val="en-US" w:eastAsia="zh-CN"/>
        </w:rPr>
      </w:pPr>
      <w:r>
        <w:rPr>
          <w:rFonts w:hint="eastAsia"/>
          <w:lang w:val="en-US" w:eastAsia="zh-CN"/>
        </w:rPr>
        <w:t>[3]冯竹君.AI赋能的“三阶式”初中语文教学评模型构建[J].教师,2025,(32):25-28.</w:t>
      </w:r>
    </w:p>
    <w:p w14:paraId="00E2C669">
      <w:pPr>
        <w:rPr>
          <w:rFonts w:hint="eastAsia"/>
          <w:lang w:val="en-US" w:eastAsia="zh-CN"/>
        </w:rPr>
      </w:pPr>
      <w:r>
        <w:rPr>
          <w:rFonts w:hint="eastAsia"/>
          <w:lang w:val="en-US" w:eastAsia="zh-CN"/>
        </w:rPr>
        <w:t>[4]潘金亮,李海云.初中语文“教学评”一致性的思考与实践[J].语文建设,2024,(1):75-77.</w:t>
      </w:r>
    </w:p>
    <w:p w14:paraId="16BC4E73">
      <w:pPr>
        <w:rPr>
          <w:rFonts w:hint="eastAsia"/>
          <w:lang w:val="en-US" w:eastAsia="zh-CN"/>
        </w:rPr>
      </w:pPr>
      <w:r>
        <w:rPr>
          <w:rFonts w:hint="eastAsia"/>
          <w:lang w:val="en-US" w:eastAsia="zh-CN"/>
        </w:rPr>
        <w:t>[5]朱棣.互联网+教育”下的初中语文智慧课堂构建研究[J].华夏教师,2022,(18):52-54.</w:t>
      </w:r>
    </w:p>
    <w:bookmarkEnd w:id="0"/>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1D361DD"/>
    <w:rsid w:val="29B87C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sz w:val="21"/>
      <w:szCs w:val="22"/>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extobjs>
    <extobj name="E657119C-6982-421D-8BA7-E74DEB70A7D9-1">
      <extobjdata type="E657119C-6982-421D-8BA7-E74DEB70A7D9" data="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2026-07-25T02:22:11Z</dcterms:created>
  <dcterms:modified xsi:type="dcterms:W3CDTF">2026-07-25T03:08:52Z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95710E9C78694F56B13F720F8FC53AF2_13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