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EBEB7CE">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color w:val="0000FF"/>
          <w:sz w:val="21"/>
          <w:szCs w:val="21"/>
          <w:lang w:val="en-US" w:eastAsia="zh-CN"/>
        </w:rPr>
      </w:pPr>
      <w:bookmarkStart w:id="0" w:name="_GoBack"/>
      <w:bookmarkEnd w:id="0"/>
      <w:r>
        <w:rPr>
          <w:rFonts w:ascii="宋体" w:eastAsia="宋体" w:hAnsi="宋体" w:cs="宋体" w:hint="eastAsia"/>
          <w:b/>
          <w:bCs/>
          <w:color w:val="0000FF"/>
          <w:sz w:val="21"/>
          <w:szCs w:val="21"/>
          <w:lang w:val="en-US" w:eastAsia="zh-CN"/>
        </w:rPr>
        <w:t>2.2客户群体的分层运营优化</w:t>
      </w:r>
    </w:p>
    <w:p w14:paraId="650D8A18">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终端客户消费行为数据是石油企业开展精准营销的主要依据，传统的无差别促销模式资源投入产出比不断下降。</w:t>
      </w:r>
    </w:p>
    <w:p w14:paraId="2C38A552">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数据归集层把线下加油卡交易系统、线上官方小程序、第三方支付端口等渠道的全部消费记录进行整合，统一数据字段统计标准，清洗掉重复的、无效的数据，创建起一个集中化的客户数据中台，保存消费时间，品类，金额，到店频次等各个方面的信息，打破油品和非油业务之间的数据壁垒，给客群划分赋予完整的连续的数据支撑。</w:t>
      </w:r>
    </w:p>
    <w:p w14:paraId="6BC3BED3">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标签构建层根据消费行为特征建立多维度标签体系，按消费频次分为高频稳定、中频波动、低频流动三类客群，按客单价分为高价值、大众、价格敏感三类客群，按消费品类分为油品专属、综合消费两类客群，标签随着客户的消费行为动态更新，实现对客群特征的精准描绘。</w:t>
      </w:r>
    </w:p>
    <w:p w14:paraId="78350233">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权益匹配层针对不同的标签客群制定不同的营销方案，给高频高价值客群提供专属的服务对接通道，给予站点优先服务、定制商品预订等权益，推送符合其消费习惯的专属活动，中频客群推出阶梯式消费激励和跨界联名权益，提高其消费频次，低频客群设计体验式礼包和定向优惠券，激发沉睡客户消费意愿。</w:t>
      </w:r>
    </w:p>
    <w:p w14:paraId="78AE778E">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效果迭代层创建线上专属客户反馈收集入口，定时抽取各个客群的活动参与率、复购率等指标，同营销资源投入与业绩转化效果进行对比，依照数据表现改良标签维度和权益安排，慢慢改进分层运营精确度，削减营销资源的无效消耗。</w:t>
      </w:r>
    </w:p>
    <w:p w14:paraId="599375AB">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color w:val="0000FF"/>
          <w:sz w:val="21"/>
          <w:szCs w:val="21"/>
          <w:lang w:val="en-US" w:eastAsia="zh-CN"/>
        </w:rPr>
      </w:pPr>
      <w:r>
        <w:rPr>
          <w:rFonts w:ascii="宋体" w:eastAsia="宋体" w:hAnsi="宋体" w:cs="宋体" w:hint="eastAsia"/>
          <w:b/>
          <w:bCs/>
          <w:color w:val="0000FF"/>
          <w:sz w:val="21"/>
          <w:szCs w:val="21"/>
          <w:lang w:val="en-US" w:eastAsia="zh-CN"/>
        </w:rPr>
        <w:t>2.3品牌传播的场景路径重构</w:t>
      </w:r>
    </w:p>
    <w:p w14:paraId="33237DD8">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传统的石油品牌传播大多依靠线下渠道和硬广投放，其触达效率以及受众的接受度在新媒体环境里已经出现了明显的下降。</w:t>
      </w:r>
    </w:p>
    <w:p w14:paraId="77405C69">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一是建立覆盖短视频平台、本地生活平台、主流社交平台的传播矩阵，账号的内容产出不再只是企业动态和油品介绍，而是围绕车主日常出行场景来生产实用内容，包括长途出行路线规划、车辆日常养护常识、站点便民服务指南等各个方面，利用节点热点推出互动话题，鼓励普通用户分享自己的出行经历和站点消费体验。</w:t>
      </w:r>
    </w:p>
    <w:p w14:paraId="376B653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二是同本地生活服务商、出行导航平台、垂直汽车社群展开内容合作，在用户出行决策环节中把品牌信息植入其中，在用户规划路线、寻找补给点的时候自然而然地展示出站点信息和服务内容，减少传播过程中硬广的痕迹，依靠场景化的传播内容加深用户对于品牌服务能力的认识，慢慢塑造起品牌同优质出行服务场景之间的联系记忆。</w:t>
      </w:r>
    </w:p>
    <w:p w14:paraId="1780822C"/>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7C4934"/>
    <w:rsid w:val="257C4934"/>
    <w:rsid w:val="346852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2026-07-27T05:52:00Z</dcterms:created>
  <dcterms:modified xsi:type="dcterms:W3CDTF">2026-07-27T06:49:37Z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E936B48F356D4085B004C539ACBA74E5_11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